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FDA8" w14:textId="77777777" w:rsidR="001C0D1C" w:rsidRDefault="004D52CE">
      <w:pPr>
        <w:pStyle w:val="Heading1"/>
      </w:pPr>
      <w:bookmarkStart w:id="0" w:name="_Toc46327084"/>
      <w:r>
        <w:t>Toxicant default guideline values for aquatic ecosystem protection</w:t>
      </w:r>
      <w:bookmarkEnd w:id="0"/>
    </w:p>
    <w:p w14:paraId="6B05C802" w14:textId="761A17B5" w:rsidR="001C0D1C" w:rsidRPr="00614501" w:rsidRDefault="00B75665" w:rsidP="00614501">
      <w:pPr>
        <w:pStyle w:val="Subtitle"/>
      </w:pPr>
      <w:bookmarkStart w:id="1" w:name="_Toc46327085"/>
      <w:r w:rsidRPr="00614501">
        <w:t>Fipronil in</w:t>
      </w:r>
      <w:r w:rsidR="008F7426" w:rsidRPr="00614501">
        <w:t xml:space="preserve"> </w:t>
      </w:r>
      <w:r w:rsidRPr="00614501">
        <w:t xml:space="preserve">marine </w:t>
      </w:r>
      <w:r w:rsidR="004D52CE" w:rsidRPr="00614501">
        <w:t>water</w:t>
      </w:r>
      <w:bookmarkEnd w:id="1"/>
    </w:p>
    <w:p w14:paraId="57D6D47C" w14:textId="77777777" w:rsidR="001C0D1C" w:rsidRDefault="004D52CE">
      <w:pPr>
        <w:pStyle w:val="Documenttype"/>
      </w:pPr>
      <w:r>
        <w:t>Technical brief</w:t>
      </w:r>
    </w:p>
    <w:p w14:paraId="52A3320B" w14:textId="6BEDF026" w:rsidR="006D5D93" w:rsidRDefault="00DE2AC1">
      <w:pPr>
        <w:pStyle w:val="Publicationdate"/>
      </w:pPr>
      <w:r>
        <w:t>October</w:t>
      </w:r>
      <w:r w:rsidR="00700FB8" w:rsidRPr="00A147D9">
        <w:t xml:space="preserve"> </w:t>
      </w:r>
      <w:r w:rsidR="008A1E34" w:rsidRPr="00A147D9">
        <w:t>202</w:t>
      </w:r>
      <w:r w:rsidR="00614501" w:rsidRPr="00A147D9">
        <w:t>5</w:t>
      </w:r>
    </w:p>
    <w:p w14:paraId="7188D281" w14:textId="77777777" w:rsidR="006D5D93" w:rsidRDefault="006D5D93">
      <w:pPr>
        <w:pStyle w:val="Publicationdate"/>
      </w:pPr>
    </w:p>
    <w:p w14:paraId="599DAC50" w14:textId="77777777" w:rsidR="006D5D93" w:rsidRPr="006D5D93" w:rsidRDefault="006D5D93">
      <w:pPr>
        <w:pStyle w:val="Publicationdate"/>
        <w:sectPr w:rsidR="006D5D93" w:rsidRPr="006D5D93" w:rsidSect="00787725">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567" w:footer="284" w:gutter="0"/>
          <w:pgNumType w:fmt="lowerRoman" w:start="1"/>
          <w:cols w:space="708"/>
          <w:titlePg/>
          <w:docGrid w:linePitch="299"/>
        </w:sectPr>
      </w:pPr>
    </w:p>
    <w:p w14:paraId="4D5D203B" w14:textId="5FBAE453" w:rsidR="001C0D1C" w:rsidRDefault="00E55B1C">
      <w:pPr>
        <w:rPr>
          <w:sz w:val="18"/>
          <w:szCs w:val="18"/>
        </w:rPr>
      </w:pPr>
      <w:r>
        <w:rPr>
          <w:sz w:val="18"/>
          <w:szCs w:val="18"/>
        </w:rPr>
        <w:lastRenderedPageBreak/>
        <w:t xml:space="preserve">© Commonwealth of Australia </w:t>
      </w:r>
      <w:r w:rsidR="008A1E34">
        <w:rPr>
          <w:sz w:val="18"/>
          <w:szCs w:val="18"/>
        </w:rPr>
        <w:t>202</w:t>
      </w:r>
      <w:r w:rsidR="007C4E2A">
        <w:rPr>
          <w:sz w:val="18"/>
          <w:szCs w:val="18"/>
        </w:rPr>
        <w:t>5</w:t>
      </w:r>
    </w:p>
    <w:p w14:paraId="08AA60A3" w14:textId="77777777" w:rsidR="001C0D1C" w:rsidRDefault="00E55B1C">
      <w:pPr>
        <w:spacing w:after="0"/>
        <w:rPr>
          <w:rFonts w:ascii="Calibri" w:hAnsi="Calibri"/>
          <w:b/>
          <w:sz w:val="18"/>
          <w:szCs w:val="18"/>
        </w:rPr>
      </w:pPr>
      <w:r>
        <w:rPr>
          <w:rFonts w:ascii="Calibri" w:hAnsi="Calibri"/>
          <w:b/>
          <w:sz w:val="18"/>
          <w:szCs w:val="18"/>
        </w:rPr>
        <w:t>Ownership of intellectual property rights</w:t>
      </w:r>
    </w:p>
    <w:p w14:paraId="0B4A0198" w14:textId="77777777" w:rsidR="004D52CE" w:rsidRDefault="004D52CE" w:rsidP="004D52CE">
      <w:pPr>
        <w:rPr>
          <w:sz w:val="18"/>
          <w:szCs w:val="18"/>
        </w:rPr>
      </w:pPr>
      <w:r>
        <w:rPr>
          <w:sz w:val="18"/>
          <w:szCs w:val="18"/>
        </w:rPr>
        <w:t>Unless otherwise noted, copyright (and any other intellectual property rights, if any) in this publication is owned by the Commonwealth of Australia (referred to as the Commonwealth).</w:t>
      </w:r>
    </w:p>
    <w:p w14:paraId="312BD66C" w14:textId="77777777" w:rsidR="00B151F6" w:rsidRDefault="00B151F6" w:rsidP="00B151F6">
      <w:pPr>
        <w:spacing w:after="0"/>
        <w:rPr>
          <w:rFonts w:ascii="Calibri" w:hAnsi="Calibri"/>
          <w:b/>
          <w:sz w:val="18"/>
          <w:szCs w:val="18"/>
        </w:rPr>
      </w:pPr>
      <w:r>
        <w:rPr>
          <w:rFonts w:ascii="Calibri" w:hAnsi="Calibri"/>
          <w:b/>
          <w:sz w:val="18"/>
          <w:szCs w:val="18"/>
        </w:rPr>
        <w:t>Creative Commons licence</w:t>
      </w:r>
    </w:p>
    <w:p w14:paraId="79CDBB88" w14:textId="77777777" w:rsidR="00B151F6" w:rsidRDefault="00B151F6" w:rsidP="00B151F6">
      <w:pPr>
        <w:rPr>
          <w:sz w:val="18"/>
          <w:szCs w:val="18"/>
        </w:rPr>
      </w:pPr>
      <w:r>
        <w:rPr>
          <w:sz w:val="18"/>
          <w:szCs w:val="18"/>
        </w:rPr>
        <w:t>All material in this publication is licensed under a Creative Commons Attribution 4.0 Australia Licence, save for content supplied by third parties, photographic images, logos and the Commonwealth Coat of Arms.</w:t>
      </w:r>
    </w:p>
    <w:p w14:paraId="64A0497D" w14:textId="20B96961" w:rsidR="00B151F6" w:rsidRDefault="00B151F6" w:rsidP="00B151F6">
      <w:pPr>
        <w:rPr>
          <w:sz w:val="18"/>
          <w:szCs w:val="18"/>
        </w:rPr>
      </w:pPr>
      <w:r>
        <w:rPr>
          <w:noProof/>
          <w:sz w:val="18"/>
          <w:szCs w:val="18"/>
          <w:lang w:eastAsia="en-AU"/>
        </w:rPr>
        <w:drawing>
          <wp:anchor distT="0" distB="0" distL="114300" distR="114300" simplePos="0" relativeHeight="251658240" behindDoc="0" locked="0" layoutInCell="1" allowOverlap="1" wp14:anchorId="53D3BAAC" wp14:editId="7CAD408E">
            <wp:simplePos x="923925" y="2400300"/>
            <wp:positionH relativeFrom="column">
              <wp:align>left</wp:align>
            </wp:positionH>
            <wp:positionV relativeFrom="paragraph">
              <wp:align>top</wp:align>
            </wp:positionV>
            <wp:extent cx="723900" cy="255905"/>
            <wp:effectExtent l="0" t="0" r="0" b="0"/>
            <wp:wrapSquare wrapText="bothSides"/>
            <wp:docPr id="3"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255905"/>
                    </a:xfrm>
                    <a:prstGeom prst="rect">
                      <a:avLst/>
                    </a:prstGeom>
                    <a:noFill/>
                    <a:ln w="9525">
                      <a:noFill/>
                      <a:miter lim="800000"/>
                      <a:headEnd/>
                      <a:tailEnd/>
                    </a:ln>
                  </pic:spPr>
                </pic:pic>
              </a:graphicData>
            </a:graphic>
          </wp:anchor>
        </w:drawing>
      </w:r>
      <w:r>
        <w:rPr>
          <w:sz w:val="18"/>
          <w:szCs w:val="18"/>
        </w:rPr>
        <w:br w:type="textWrapping" w:clear="all"/>
        <w:t xml:space="preserve">Creative Commons Attribution 4.0 Australia Licence is a standard form licence agreement that allows you to copy, distribute, transmit and adapt this publication provided you attribute the work. See the </w:t>
      </w:r>
      <w:hyperlink r:id="rId18" w:history="1">
        <w:r>
          <w:rPr>
            <w:rStyle w:val="Hyperlink"/>
            <w:sz w:val="18"/>
            <w:szCs w:val="18"/>
          </w:rPr>
          <w:t>summary of the licence terms</w:t>
        </w:r>
      </w:hyperlink>
      <w:r>
        <w:rPr>
          <w:sz w:val="18"/>
          <w:szCs w:val="18"/>
        </w:rPr>
        <w:t xml:space="preserve"> or the </w:t>
      </w:r>
      <w:hyperlink r:id="rId19" w:history="1">
        <w:r>
          <w:rPr>
            <w:rStyle w:val="Hyperlink"/>
            <w:sz w:val="18"/>
            <w:szCs w:val="18"/>
          </w:rPr>
          <w:t>full licence terms</w:t>
        </w:r>
      </w:hyperlink>
      <w:r>
        <w:rPr>
          <w:sz w:val="18"/>
          <w:szCs w:val="18"/>
        </w:rPr>
        <w:t>.</w:t>
      </w:r>
    </w:p>
    <w:p w14:paraId="74302EA0" w14:textId="75633E57" w:rsidR="00B151F6" w:rsidRDefault="00B151F6" w:rsidP="00B151F6">
      <w:pPr>
        <w:rPr>
          <w:sz w:val="18"/>
          <w:szCs w:val="18"/>
        </w:rPr>
      </w:pPr>
      <w:r>
        <w:rPr>
          <w:sz w:val="18"/>
          <w:szCs w:val="18"/>
        </w:rPr>
        <w:t xml:space="preserve">Inquiries about the licence and any use of this document should be emailed to </w:t>
      </w:r>
      <w:hyperlink r:id="rId20" w:history="1">
        <w:r w:rsidR="002F32E9" w:rsidRPr="00860065">
          <w:rPr>
            <w:rStyle w:val="Hyperlink"/>
            <w:sz w:val="18"/>
            <w:szCs w:val="18"/>
          </w:rPr>
          <w:t>copyright@dcceew.gov.au</w:t>
        </w:r>
      </w:hyperlink>
      <w:r>
        <w:rPr>
          <w:sz w:val="18"/>
          <w:szCs w:val="18"/>
        </w:rPr>
        <w:t>.</w:t>
      </w:r>
    </w:p>
    <w:p w14:paraId="7779B7BE" w14:textId="77777777" w:rsidR="001C0D1C" w:rsidRDefault="00E55B1C">
      <w:pPr>
        <w:spacing w:after="0"/>
        <w:rPr>
          <w:rFonts w:ascii="Calibri" w:hAnsi="Calibri"/>
          <w:b/>
          <w:sz w:val="18"/>
          <w:szCs w:val="18"/>
        </w:rPr>
      </w:pPr>
      <w:r>
        <w:rPr>
          <w:rFonts w:ascii="Calibri" w:hAnsi="Calibri"/>
          <w:b/>
          <w:sz w:val="18"/>
          <w:szCs w:val="18"/>
        </w:rPr>
        <w:t>Cataloguing data</w:t>
      </w:r>
    </w:p>
    <w:p w14:paraId="138AEB89" w14:textId="7582766E" w:rsidR="00B151F6" w:rsidRDefault="00E55B1C" w:rsidP="00B151F6">
      <w:pPr>
        <w:rPr>
          <w:sz w:val="18"/>
          <w:szCs w:val="18"/>
        </w:rPr>
      </w:pPr>
      <w:r>
        <w:rPr>
          <w:sz w:val="18"/>
          <w:szCs w:val="18"/>
        </w:rPr>
        <w:t xml:space="preserve">This publication (and any material sourced from it) should be attributed as: </w:t>
      </w:r>
      <w:r w:rsidR="00343147">
        <w:rPr>
          <w:sz w:val="18"/>
          <w:szCs w:val="18"/>
        </w:rPr>
        <w:t>ANZG</w:t>
      </w:r>
      <w:r>
        <w:rPr>
          <w:sz w:val="18"/>
          <w:szCs w:val="18"/>
        </w:rPr>
        <w:t xml:space="preserve"> </w:t>
      </w:r>
      <w:r w:rsidR="008A1E34">
        <w:rPr>
          <w:sz w:val="18"/>
          <w:szCs w:val="18"/>
        </w:rPr>
        <w:t>202</w:t>
      </w:r>
      <w:r w:rsidR="007C4E2A">
        <w:rPr>
          <w:sz w:val="18"/>
          <w:szCs w:val="18"/>
        </w:rPr>
        <w:t>5</w:t>
      </w:r>
      <w:r>
        <w:rPr>
          <w:sz w:val="18"/>
          <w:szCs w:val="18"/>
        </w:rPr>
        <w:t>,</w:t>
      </w:r>
      <w:r w:rsidR="00DF1801">
        <w:rPr>
          <w:sz w:val="18"/>
          <w:szCs w:val="18"/>
        </w:rPr>
        <w:t xml:space="preserve"> </w:t>
      </w:r>
      <w:r w:rsidR="00B151F6">
        <w:rPr>
          <w:i/>
          <w:sz w:val="18"/>
          <w:szCs w:val="18"/>
        </w:rPr>
        <w:t xml:space="preserve">Toxicant default guideline values for aquatic ecosystem protection: </w:t>
      </w:r>
      <w:r w:rsidR="00B75665">
        <w:rPr>
          <w:i/>
          <w:sz w:val="18"/>
          <w:szCs w:val="18"/>
        </w:rPr>
        <w:t>Fipronil</w:t>
      </w:r>
      <w:r w:rsidR="00B151F6">
        <w:rPr>
          <w:i/>
          <w:sz w:val="18"/>
          <w:szCs w:val="18"/>
        </w:rPr>
        <w:t xml:space="preserve"> in </w:t>
      </w:r>
      <w:r w:rsidR="00B75665">
        <w:rPr>
          <w:i/>
          <w:sz w:val="18"/>
          <w:szCs w:val="18"/>
        </w:rPr>
        <w:t>marine</w:t>
      </w:r>
      <w:r w:rsidR="008F7426">
        <w:rPr>
          <w:i/>
          <w:sz w:val="18"/>
          <w:szCs w:val="18"/>
        </w:rPr>
        <w:t xml:space="preserve"> </w:t>
      </w:r>
      <w:r w:rsidR="00B151F6">
        <w:rPr>
          <w:i/>
          <w:sz w:val="18"/>
          <w:szCs w:val="18"/>
        </w:rPr>
        <w:t xml:space="preserve">water. </w:t>
      </w:r>
      <w:r w:rsidR="00343147">
        <w:rPr>
          <w:sz w:val="18"/>
          <w:szCs w:val="18"/>
        </w:rPr>
        <w:t>Australian and New Zealand Guidelines for Fresh and Marine Water Quality.</w:t>
      </w:r>
      <w:r w:rsidR="00343147" w:rsidRPr="00D47CA4">
        <w:rPr>
          <w:sz w:val="18"/>
          <w:szCs w:val="18"/>
        </w:rPr>
        <w:t xml:space="preserve"> </w:t>
      </w:r>
      <w:r w:rsidR="00B151F6" w:rsidRPr="00D47CA4">
        <w:rPr>
          <w:sz w:val="18"/>
          <w:szCs w:val="18"/>
        </w:rPr>
        <w:t>CC BY 4.0. Australian and New Zealand Governments and Australian state and territory governments, Canberra, ACT, Australia</w:t>
      </w:r>
      <w:r w:rsidR="00B151F6">
        <w:rPr>
          <w:sz w:val="18"/>
          <w:szCs w:val="18"/>
        </w:rPr>
        <w:t>.</w:t>
      </w:r>
    </w:p>
    <w:p w14:paraId="537AB5D1" w14:textId="0831D4B8" w:rsidR="00B151F6" w:rsidRDefault="00B151F6" w:rsidP="00B151F6">
      <w:pPr>
        <w:rPr>
          <w:sz w:val="18"/>
          <w:szCs w:val="18"/>
        </w:rPr>
      </w:pPr>
      <w:r>
        <w:rPr>
          <w:sz w:val="18"/>
          <w:szCs w:val="18"/>
        </w:rPr>
        <w:t xml:space="preserve">This publication is available at </w:t>
      </w:r>
      <w:hyperlink r:id="rId21" w:history="1">
        <w:r w:rsidR="00EA251E" w:rsidRPr="00017770">
          <w:rPr>
            <w:rStyle w:val="Hyperlink"/>
            <w:sz w:val="18"/>
            <w:szCs w:val="18"/>
          </w:rPr>
          <w:t>waterquality.gov.au/anz-guidelines/guideline-values/default/water-quality-toxicants/toxicants</w:t>
        </w:r>
      </w:hyperlink>
      <w:r>
        <w:rPr>
          <w:sz w:val="18"/>
          <w:szCs w:val="18"/>
        </w:rPr>
        <w:t>.</w:t>
      </w:r>
    </w:p>
    <w:p w14:paraId="259E04F8" w14:textId="77777777" w:rsidR="00824850" w:rsidRDefault="00824850" w:rsidP="00824850">
      <w:pPr>
        <w:spacing w:after="0"/>
        <w:rPr>
          <w:b/>
          <w:sz w:val="18"/>
          <w:szCs w:val="18"/>
        </w:rPr>
      </w:pPr>
      <w:r w:rsidRPr="00824850">
        <w:rPr>
          <w:b/>
          <w:sz w:val="18"/>
          <w:szCs w:val="18"/>
        </w:rPr>
        <w:t>Contact</w:t>
      </w:r>
    </w:p>
    <w:p w14:paraId="087963AA" w14:textId="77777777" w:rsidR="00643D39" w:rsidRDefault="00643D39" w:rsidP="00643D39">
      <w:pPr>
        <w:spacing w:after="0"/>
        <w:rPr>
          <w:b/>
          <w:sz w:val="18"/>
          <w:szCs w:val="18"/>
        </w:rPr>
      </w:pPr>
      <w:r>
        <w:rPr>
          <w:sz w:val="18"/>
          <w:szCs w:val="18"/>
        </w:rPr>
        <w:t>Australian Government Department of Climate Change, Energy, the Environment and Water</w:t>
      </w:r>
    </w:p>
    <w:p w14:paraId="33F12522" w14:textId="77777777" w:rsidR="00643D39" w:rsidRPr="00824850" w:rsidRDefault="00643D39" w:rsidP="00643D39">
      <w:pPr>
        <w:spacing w:after="0"/>
        <w:rPr>
          <w:b/>
          <w:sz w:val="18"/>
          <w:szCs w:val="18"/>
        </w:rPr>
      </w:pPr>
      <w:r>
        <w:rPr>
          <w:sz w:val="18"/>
          <w:szCs w:val="18"/>
        </w:rPr>
        <w:t>GPO Box 858 Canberra ACT 2601</w:t>
      </w:r>
    </w:p>
    <w:p w14:paraId="452A61EB" w14:textId="77777777" w:rsidR="00643D39" w:rsidRDefault="00643D39" w:rsidP="00643D39">
      <w:pPr>
        <w:spacing w:after="0"/>
        <w:rPr>
          <w:sz w:val="18"/>
          <w:szCs w:val="18"/>
        </w:rPr>
      </w:pPr>
      <w:r>
        <w:rPr>
          <w:sz w:val="18"/>
          <w:szCs w:val="18"/>
        </w:rPr>
        <w:t>Switchboard +61 2 6272 3933 or 1800 900 090</w:t>
      </w:r>
    </w:p>
    <w:p w14:paraId="17F532E7" w14:textId="05FB42AD" w:rsidR="001C0D1C" w:rsidRDefault="00643D39" w:rsidP="00643D39">
      <w:pPr>
        <w:rPr>
          <w:sz w:val="18"/>
          <w:szCs w:val="18"/>
        </w:rPr>
      </w:pPr>
      <w:r>
        <w:rPr>
          <w:sz w:val="18"/>
          <w:szCs w:val="18"/>
        </w:rPr>
        <w:t xml:space="preserve">Email </w:t>
      </w:r>
      <w:hyperlink r:id="rId22" w:history="1">
        <w:r w:rsidRPr="00860065">
          <w:rPr>
            <w:rStyle w:val="Hyperlink"/>
            <w:sz w:val="18"/>
            <w:szCs w:val="18"/>
          </w:rPr>
          <w:t>waterquality@dcceew.gov.au</w:t>
        </w:r>
      </w:hyperlink>
    </w:p>
    <w:p w14:paraId="34AE8164" w14:textId="77777777" w:rsidR="00B151F6" w:rsidRDefault="00B151F6" w:rsidP="00B151F6">
      <w:pPr>
        <w:spacing w:after="0"/>
        <w:rPr>
          <w:rFonts w:ascii="Calibri" w:hAnsi="Calibri"/>
          <w:b/>
          <w:sz w:val="18"/>
          <w:szCs w:val="18"/>
        </w:rPr>
      </w:pPr>
      <w:r>
        <w:rPr>
          <w:rFonts w:ascii="Calibri" w:hAnsi="Calibri"/>
          <w:b/>
          <w:sz w:val="18"/>
          <w:szCs w:val="18"/>
        </w:rPr>
        <w:t>Disclaimer</w:t>
      </w:r>
    </w:p>
    <w:p w14:paraId="0349176F" w14:textId="6FFBB9C4" w:rsidR="00B151F6" w:rsidRDefault="00B151F6" w:rsidP="007C4E2A">
      <w:pPr>
        <w:rPr>
          <w:sz w:val="18"/>
          <w:szCs w:val="18"/>
        </w:rPr>
      </w:pPr>
      <w:r>
        <w:rPr>
          <w:sz w:val="18"/>
          <w:szCs w:val="18"/>
        </w:rPr>
        <w:t>The author(s) of this publication, all other entities associated with funding this publication or preparing and compiling this publication, and the publisher of this publication, and their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26149CCC" w14:textId="77777777" w:rsidR="00B151F6" w:rsidRDefault="00B151F6" w:rsidP="00B151F6">
      <w:pPr>
        <w:spacing w:after="0"/>
        <w:rPr>
          <w:rFonts w:ascii="Calibri" w:hAnsi="Calibri"/>
          <w:b/>
          <w:sz w:val="18"/>
          <w:szCs w:val="18"/>
        </w:rPr>
      </w:pPr>
      <w:r>
        <w:rPr>
          <w:rFonts w:ascii="Calibri" w:hAnsi="Calibri"/>
          <w:b/>
          <w:sz w:val="18"/>
          <w:szCs w:val="18"/>
        </w:rPr>
        <w:t>Acknowledgements</w:t>
      </w:r>
    </w:p>
    <w:p w14:paraId="0B9E1085" w14:textId="32EA2C56" w:rsidR="007C4E2A" w:rsidRDefault="008F7426" w:rsidP="008F7426">
      <w:pPr>
        <w:rPr>
          <w:sz w:val="18"/>
          <w:szCs w:val="18"/>
        </w:rPr>
      </w:pPr>
      <w:r w:rsidRPr="008F7426">
        <w:rPr>
          <w:sz w:val="18"/>
          <w:szCs w:val="18"/>
        </w:rPr>
        <w:t>The default guideline values</w:t>
      </w:r>
      <w:r w:rsidR="00FD443C">
        <w:rPr>
          <w:sz w:val="18"/>
          <w:szCs w:val="18"/>
        </w:rPr>
        <w:t xml:space="preserve"> (DGVs)</w:t>
      </w:r>
      <w:r w:rsidRPr="008F7426">
        <w:rPr>
          <w:sz w:val="18"/>
          <w:szCs w:val="18"/>
        </w:rPr>
        <w:t xml:space="preserve"> were derived by </w:t>
      </w:r>
      <w:r w:rsidR="00B75665" w:rsidRPr="00B75665">
        <w:rPr>
          <w:sz w:val="18"/>
          <w:szCs w:val="18"/>
        </w:rPr>
        <w:t>Olivia C King, Dr Rachael A Smith</w:t>
      </w:r>
      <w:r w:rsidR="00FD443C">
        <w:rPr>
          <w:sz w:val="18"/>
          <w:szCs w:val="18"/>
        </w:rPr>
        <w:t xml:space="preserve"> and</w:t>
      </w:r>
      <w:r w:rsidR="00B75665" w:rsidRPr="00B75665">
        <w:rPr>
          <w:sz w:val="18"/>
          <w:szCs w:val="18"/>
        </w:rPr>
        <w:t xml:space="preserve"> Dr Reinier M Mann (</w:t>
      </w:r>
      <w:r w:rsidR="00FD443C" w:rsidRPr="00FD443C">
        <w:rPr>
          <w:sz w:val="18"/>
          <w:szCs w:val="18"/>
        </w:rPr>
        <w:t>Queensland Department of the Environment, Tourism, Science and Innovation (DETSI)</w:t>
      </w:r>
      <w:r w:rsidR="00B75665" w:rsidRPr="00B75665">
        <w:rPr>
          <w:sz w:val="18"/>
          <w:szCs w:val="18"/>
        </w:rPr>
        <w:t>), Hannah Allan and Julius Frangos (Griffith University)</w:t>
      </w:r>
      <w:r w:rsidR="00FD443C">
        <w:rPr>
          <w:sz w:val="18"/>
          <w:szCs w:val="18"/>
        </w:rPr>
        <w:t>,</w:t>
      </w:r>
      <w:r w:rsidR="00B75665" w:rsidRPr="00B75665">
        <w:rPr>
          <w:sz w:val="18"/>
          <w:szCs w:val="18"/>
        </w:rPr>
        <w:t xml:space="preserve"> and Dr Michael St J Warne (University of Queensland</w:t>
      </w:r>
      <w:r w:rsidR="00FD443C">
        <w:rPr>
          <w:sz w:val="18"/>
          <w:szCs w:val="18"/>
        </w:rPr>
        <w:t>, DESTI</w:t>
      </w:r>
      <w:r w:rsidR="00F06175">
        <w:rPr>
          <w:sz w:val="18"/>
          <w:szCs w:val="18"/>
        </w:rPr>
        <w:t>,</w:t>
      </w:r>
      <w:r w:rsidR="00FD443C">
        <w:rPr>
          <w:sz w:val="18"/>
          <w:szCs w:val="18"/>
        </w:rPr>
        <w:t xml:space="preserve"> and</w:t>
      </w:r>
      <w:r w:rsidR="00B75665" w:rsidRPr="00B75665">
        <w:rPr>
          <w:sz w:val="18"/>
          <w:szCs w:val="18"/>
        </w:rPr>
        <w:t xml:space="preserve"> Coventry University, U</w:t>
      </w:r>
      <w:r w:rsidR="00FD443C">
        <w:rPr>
          <w:sz w:val="18"/>
          <w:szCs w:val="18"/>
        </w:rPr>
        <w:t>K</w:t>
      </w:r>
      <w:r w:rsidR="00B75665" w:rsidRPr="00B75665">
        <w:rPr>
          <w:sz w:val="18"/>
          <w:szCs w:val="18"/>
        </w:rPr>
        <w:t>).</w:t>
      </w:r>
      <w:r w:rsidR="001B1DB2">
        <w:rPr>
          <w:sz w:val="18"/>
          <w:szCs w:val="18"/>
        </w:rPr>
        <w:t>The DGVs</w:t>
      </w:r>
      <w:r w:rsidR="00B151F6">
        <w:rPr>
          <w:sz w:val="18"/>
          <w:szCs w:val="18"/>
        </w:rPr>
        <w:t xml:space="preserve"> were peer reviewed by two anonymous reviewers</w:t>
      </w:r>
      <w:r w:rsidR="00290003">
        <w:rPr>
          <w:sz w:val="18"/>
          <w:szCs w:val="18"/>
        </w:rPr>
        <w:t xml:space="preserve"> and by contracted technical advisor</w:t>
      </w:r>
      <w:r w:rsidR="004C4DE2">
        <w:rPr>
          <w:sz w:val="18"/>
          <w:szCs w:val="18"/>
        </w:rPr>
        <w:t>s</w:t>
      </w:r>
      <w:r w:rsidR="00290003">
        <w:rPr>
          <w:sz w:val="18"/>
          <w:szCs w:val="18"/>
        </w:rPr>
        <w:t xml:space="preserve"> Dr Rick van Dam</w:t>
      </w:r>
      <w:r w:rsidR="004C4DE2">
        <w:rPr>
          <w:sz w:val="18"/>
          <w:szCs w:val="18"/>
        </w:rPr>
        <w:t xml:space="preserve"> and Dr Melanie Trenfield</w:t>
      </w:r>
      <w:r w:rsidR="00B151F6">
        <w:rPr>
          <w:sz w:val="18"/>
          <w:szCs w:val="18"/>
        </w:rPr>
        <w:t>.</w:t>
      </w:r>
    </w:p>
    <w:p w14:paraId="18E18A07" w14:textId="19009417" w:rsidR="00614501" w:rsidRDefault="00E55B1C" w:rsidP="00F27195">
      <w:pPr>
        <w:spacing w:after="0"/>
      </w:pPr>
      <w:r>
        <w:rPr>
          <w:noProof/>
          <w:lang w:eastAsia="en-AU"/>
        </w:rPr>
        <w:drawing>
          <wp:inline distT="0" distB="0" distL="0" distR="0" wp14:anchorId="1D929341" wp14:editId="03ACE46B">
            <wp:extent cx="5759450" cy="1882140"/>
            <wp:effectExtent l="0" t="0" r="0" b="3810"/>
            <wp:docPr id="4" name="Picture 4" descr="A joint project between the New Zealand Government, NSW Government, Victoria State Government, Government of Western Australia, Northern Territory Government, Government of South Australia, Queensland Government, Tasmanian Government and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2834_1216_Water Quality state logos.jpg"/>
                    <pic:cNvPicPr/>
                  </pic:nvPicPr>
                  <pic:blipFill rotWithShape="1">
                    <a:blip r:embed="rId23">
                      <a:extLst>
                        <a:ext uri="{28A0092B-C50C-407E-A947-70E740481C1C}">
                          <a14:useLocalDpi xmlns:a14="http://schemas.microsoft.com/office/drawing/2010/main" val="0"/>
                        </a:ext>
                      </a:extLst>
                    </a:blip>
                    <a:srcRect t="13069" b="4161"/>
                    <a:stretch/>
                  </pic:blipFill>
                  <pic:spPr bwMode="auto">
                    <a:xfrm>
                      <a:off x="0" y="0"/>
                      <a:ext cx="5759450" cy="1882140"/>
                    </a:xfrm>
                    <a:prstGeom prst="rect">
                      <a:avLst/>
                    </a:prstGeom>
                    <a:ln>
                      <a:noFill/>
                    </a:ln>
                    <a:extLst>
                      <a:ext uri="{53640926-AAD7-44D8-BBD7-CCE9431645EC}">
                        <a14:shadowObscured xmlns:a14="http://schemas.microsoft.com/office/drawing/2010/main"/>
                      </a:ext>
                    </a:extLst>
                  </pic:spPr>
                </pic:pic>
              </a:graphicData>
            </a:graphic>
          </wp:inline>
        </w:drawing>
      </w:r>
      <w:r w:rsidR="00614501">
        <w:br w:type="page"/>
      </w:r>
    </w:p>
    <w:p w14:paraId="691D5D06" w14:textId="77777777" w:rsidR="001C0D1C" w:rsidRDefault="00E55B1C">
      <w:pPr>
        <w:pStyle w:val="TOCHeading"/>
      </w:pPr>
      <w:r>
        <w:lastRenderedPageBreak/>
        <w:t>Contents</w:t>
      </w:r>
    </w:p>
    <w:p w14:paraId="1C626872" w14:textId="4175D320" w:rsidR="00B83F6F" w:rsidRDefault="00941E22">
      <w:pPr>
        <w:pStyle w:val="TOC1"/>
        <w:rPr>
          <w:rFonts w:eastAsiaTheme="minorEastAsia"/>
          <w:b w:val="0"/>
          <w:kern w:val="2"/>
          <w:sz w:val="24"/>
          <w:szCs w:val="24"/>
          <w:lang w:eastAsia="en-AU"/>
          <w14:ligatures w14:val="standardContextual"/>
        </w:rPr>
      </w:pPr>
      <w:r w:rsidRPr="00CF1E4A">
        <w:rPr>
          <w:b w:val="0"/>
          <w:szCs w:val="24"/>
        </w:rPr>
        <w:fldChar w:fldCharType="begin"/>
      </w:r>
      <w:r w:rsidRPr="00CF1E4A">
        <w:rPr>
          <w:b w:val="0"/>
          <w:szCs w:val="24"/>
        </w:rPr>
        <w:instrText xml:space="preserve"> TOC \t "Heading 2,1,Heading 3,2" </w:instrText>
      </w:r>
      <w:r w:rsidRPr="00CF1E4A">
        <w:rPr>
          <w:b w:val="0"/>
          <w:szCs w:val="24"/>
        </w:rPr>
        <w:fldChar w:fldCharType="separate"/>
      </w:r>
      <w:r w:rsidR="00B83F6F">
        <w:t>Summary</w:t>
      </w:r>
      <w:r w:rsidR="00B83F6F">
        <w:tab/>
      </w:r>
      <w:r w:rsidR="00B83F6F">
        <w:fldChar w:fldCharType="begin"/>
      </w:r>
      <w:r w:rsidR="00B83F6F">
        <w:instrText xml:space="preserve"> PAGEREF _Toc205549912 \h </w:instrText>
      </w:r>
      <w:r w:rsidR="00B83F6F">
        <w:fldChar w:fldCharType="separate"/>
      </w:r>
      <w:r w:rsidR="00BA1209">
        <w:t>iv</w:t>
      </w:r>
      <w:r w:rsidR="00B83F6F">
        <w:fldChar w:fldCharType="end"/>
      </w:r>
    </w:p>
    <w:p w14:paraId="064DB143" w14:textId="5B35E698" w:rsidR="00B83F6F" w:rsidRDefault="00B83F6F">
      <w:pPr>
        <w:pStyle w:val="TOC1"/>
        <w:rPr>
          <w:rFonts w:eastAsiaTheme="minorEastAsia"/>
          <w:b w:val="0"/>
          <w:kern w:val="2"/>
          <w:sz w:val="24"/>
          <w:szCs w:val="24"/>
          <w:lang w:eastAsia="en-AU"/>
          <w14:ligatures w14:val="standardContextual"/>
        </w:rPr>
      </w:pPr>
      <w:r w:rsidRPr="004272C0">
        <w:t>1</w:t>
      </w:r>
      <w:r>
        <w:rPr>
          <w:rFonts w:eastAsiaTheme="minorEastAsia"/>
          <w:b w:val="0"/>
          <w:kern w:val="2"/>
          <w:sz w:val="24"/>
          <w:szCs w:val="24"/>
          <w:lang w:eastAsia="en-AU"/>
          <w14:ligatures w14:val="standardContextual"/>
        </w:rPr>
        <w:tab/>
      </w:r>
      <w:r>
        <w:t>Introduction</w:t>
      </w:r>
      <w:r>
        <w:tab/>
      </w:r>
      <w:r>
        <w:fldChar w:fldCharType="begin"/>
      </w:r>
      <w:r>
        <w:instrText xml:space="preserve"> PAGEREF _Toc205549913 \h </w:instrText>
      </w:r>
      <w:r>
        <w:fldChar w:fldCharType="separate"/>
      </w:r>
      <w:r w:rsidR="00BA1209">
        <w:t>1</w:t>
      </w:r>
      <w:r>
        <w:fldChar w:fldCharType="end"/>
      </w:r>
    </w:p>
    <w:p w14:paraId="6D9614A1" w14:textId="46AF39F6" w:rsidR="00B83F6F" w:rsidRDefault="00B83F6F">
      <w:pPr>
        <w:pStyle w:val="TOC1"/>
        <w:rPr>
          <w:rFonts w:eastAsiaTheme="minorEastAsia"/>
          <w:b w:val="0"/>
          <w:kern w:val="2"/>
          <w:sz w:val="24"/>
          <w:szCs w:val="24"/>
          <w:lang w:eastAsia="en-AU"/>
          <w14:ligatures w14:val="standardContextual"/>
        </w:rPr>
      </w:pPr>
      <w:r w:rsidRPr="004272C0">
        <w:t>2</w:t>
      </w:r>
      <w:r>
        <w:rPr>
          <w:rFonts w:eastAsiaTheme="minorEastAsia"/>
          <w:b w:val="0"/>
          <w:kern w:val="2"/>
          <w:sz w:val="24"/>
          <w:szCs w:val="24"/>
          <w:lang w:eastAsia="en-AU"/>
          <w14:ligatures w14:val="standardContextual"/>
        </w:rPr>
        <w:tab/>
      </w:r>
      <w:r>
        <w:t>Aquatic toxicology</w:t>
      </w:r>
      <w:r>
        <w:tab/>
      </w:r>
      <w:r>
        <w:fldChar w:fldCharType="begin"/>
      </w:r>
      <w:r>
        <w:instrText xml:space="preserve"> PAGEREF _Toc205549914 \h </w:instrText>
      </w:r>
      <w:r>
        <w:fldChar w:fldCharType="separate"/>
      </w:r>
      <w:r w:rsidR="00BA1209">
        <w:t>2</w:t>
      </w:r>
      <w:r>
        <w:fldChar w:fldCharType="end"/>
      </w:r>
    </w:p>
    <w:p w14:paraId="31A254A8" w14:textId="40C900FF" w:rsidR="00B83F6F" w:rsidRDefault="00B83F6F">
      <w:pPr>
        <w:pStyle w:val="TOC2"/>
        <w:tabs>
          <w:tab w:val="left" w:pos="960"/>
        </w:tabs>
        <w:rPr>
          <w:rFonts w:eastAsiaTheme="minorEastAsia"/>
          <w:kern w:val="2"/>
          <w:sz w:val="24"/>
          <w:szCs w:val="24"/>
          <w:lang w:eastAsia="en-AU"/>
          <w14:ligatures w14:val="standardContextual"/>
        </w:rPr>
      </w:pPr>
      <w:r>
        <w:t>2.1</w:t>
      </w:r>
      <w:r>
        <w:rPr>
          <w:rFonts w:eastAsiaTheme="minorEastAsia"/>
          <w:kern w:val="2"/>
          <w:sz w:val="24"/>
          <w:szCs w:val="24"/>
          <w:lang w:eastAsia="en-AU"/>
          <w14:ligatures w14:val="standardContextual"/>
        </w:rPr>
        <w:tab/>
      </w:r>
      <w:r>
        <w:t>Mechanisms of toxicity</w:t>
      </w:r>
      <w:r>
        <w:tab/>
      </w:r>
      <w:r>
        <w:fldChar w:fldCharType="begin"/>
      </w:r>
      <w:r>
        <w:instrText xml:space="preserve"> PAGEREF _Toc205549915 \h </w:instrText>
      </w:r>
      <w:r>
        <w:fldChar w:fldCharType="separate"/>
      </w:r>
      <w:r w:rsidR="00BA1209">
        <w:t>2</w:t>
      </w:r>
      <w:r>
        <w:fldChar w:fldCharType="end"/>
      </w:r>
    </w:p>
    <w:p w14:paraId="3B9687B9" w14:textId="522DBD64" w:rsidR="00B83F6F" w:rsidRDefault="00B83F6F">
      <w:pPr>
        <w:pStyle w:val="TOC2"/>
        <w:tabs>
          <w:tab w:val="left" w:pos="960"/>
        </w:tabs>
        <w:rPr>
          <w:rFonts w:eastAsiaTheme="minorEastAsia"/>
          <w:kern w:val="2"/>
          <w:sz w:val="24"/>
          <w:szCs w:val="24"/>
          <w:lang w:eastAsia="en-AU"/>
          <w14:ligatures w14:val="standardContextual"/>
        </w:rPr>
      </w:pPr>
      <w:r>
        <w:t>2.2</w:t>
      </w:r>
      <w:r>
        <w:rPr>
          <w:rFonts w:eastAsiaTheme="minorEastAsia"/>
          <w:kern w:val="2"/>
          <w:sz w:val="24"/>
          <w:szCs w:val="24"/>
          <w:lang w:eastAsia="en-AU"/>
          <w14:ligatures w14:val="standardContextual"/>
        </w:rPr>
        <w:tab/>
      </w:r>
      <w:r>
        <w:t>Relative toxicity</w:t>
      </w:r>
      <w:r>
        <w:tab/>
      </w:r>
      <w:r>
        <w:fldChar w:fldCharType="begin"/>
      </w:r>
      <w:r>
        <w:instrText xml:space="preserve"> PAGEREF _Toc205549916 \h </w:instrText>
      </w:r>
      <w:r>
        <w:fldChar w:fldCharType="separate"/>
      </w:r>
      <w:r w:rsidR="00BA1209">
        <w:t>2</w:t>
      </w:r>
      <w:r>
        <w:fldChar w:fldCharType="end"/>
      </w:r>
    </w:p>
    <w:p w14:paraId="18E1A41E" w14:textId="63FBDF91" w:rsidR="00B83F6F" w:rsidRDefault="00B83F6F">
      <w:pPr>
        <w:pStyle w:val="TOC1"/>
        <w:rPr>
          <w:rFonts w:eastAsiaTheme="minorEastAsia"/>
          <w:b w:val="0"/>
          <w:kern w:val="2"/>
          <w:sz w:val="24"/>
          <w:szCs w:val="24"/>
          <w:lang w:eastAsia="en-AU"/>
          <w14:ligatures w14:val="standardContextual"/>
        </w:rPr>
      </w:pPr>
      <w:r w:rsidRPr="004272C0">
        <w:t>3</w:t>
      </w:r>
      <w:r>
        <w:rPr>
          <w:rFonts w:eastAsiaTheme="minorEastAsia"/>
          <w:b w:val="0"/>
          <w:kern w:val="2"/>
          <w:sz w:val="24"/>
          <w:szCs w:val="24"/>
          <w:lang w:eastAsia="en-AU"/>
          <w14:ligatures w14:val="standardContextual"/>
        </w:rPr>
        <w:tab/>
      </w:r>
      <w:r>
        <w:t>Factors affecting toxicity</w:t>
      </w:r>
      <w:r>
        <w:tab/>
      </w:r>
      <w:r>
        <w:fldChar w:fldCharType="begin"/>
      </w:r>
      <w:r>
        <w:instrText xml:space="preserve"> PAGEREF _Toc205549917 \h </w:instrText>
      </w:r>
      <w:r>
        <w:fldChar w:fldCharType="separate"/>
      </w:r>
      <w:r w:rsidR="00BA1209">
        <w:t>4</w:t>
      </w:r>
      <w:r>
        <w:fldChar w:fldCharType="end"/>
      </w:r>
    </w:p>
    <w:p w14:paraId="2361D98F" w14:textId="705D99FB" w:rsidR="00B83F6F" w:rsidRDefault="00B83F6F">
      <w:pPr>
        <w:pStyle w:val="TOC1"/>
        <w:rPr>
          <w:rFonts w:eastAsiaTheme="minorEastAsia"/>
          <w:b w:val="0"/>
          <w:kern w:val="2"/>
          <w:sz w:val="24"/>
          <w:szCs w:val="24"/>
          <w:lang w:eastAsia="en-AU"/>
          <w14:ligatures w14:val="standardContextual"/>
        </w:rPr>
      </w:pPr>
      <w:r w:rsidRPr="004272C0">
        <w:t>4</w:t>
      </w:r>
      <w:r>
        <w:rPr>
          <w:rFonts w:eastAsiaTheme="minorEastAsia"/>
          <w:b w:val="0"/>
          <w:kern w:val="2"/>
          <w:sz w:val="24"/>
          <w:szCs w:val="24"/>
          <w:lang w:eastAsia="en-AU"/>
          <w14:ligatures w14:val="standardContextual"/>
        </w:rPr>
        <w:tab/>
      </w:r>
      <w:r>
        <w:t>Default guideline value derivation</w:t>
      </w:r>
      <w:r>
        <w:tab/>
      </w:r>
      <w:r>
        <w:fldChar w:fldCharType="begin"/>
      </w:r>
      <w:r>
        <w:instrText xml:space="preserve"> PAGEREF _Toc205549918 \h </w:instrText>
      </w:r>
      <w:r>
        <w:fldChar w:fldCharType="separate"/>
      </w:r>
      <w:r w:rsidR="00BA1209">
        <w:t>4</w:t>
      </w:r>
      <w:r>
        <w:fldChar w:fldCharType="end"/>
      </w:r>
    </w:p>
    <w:p w14:paraId="7BE40170" w14:textId="796FDB05" w:rsidR="00B83F6F" w:rsidRDefault="00B83F6F">
      <w:pPr>
        <w:pStyle w:val="TOC2"/>
        <w:tabs>
          <w:tab w:val="left" w:pos="960"/>
        </w:tabs>
        <w:rPr>
          <w:rFonts w:eastAsiaTheme="minorEastAsia"/>
          <w:kern w:val="2"/>
          <w:sz w:val="24"/>
          <w:szCs w:val="24"/>
          <w:lang w:eastAsia="en-AU"/>
          <w14:ligatures w14:val="standardContextual"/>
        </w:rPr>
      </w:pPr>
      <w:r>
        <w:t>4.1</w:t>
      </w:r>
      <w:r>
        <w:rPr>
          <w:rFonts w:eastAsiaTheme="minorEastAsia"/>
          <w:kern w:val="2"/>
          <w:sz w:val="24"/>
          <w:szCs w:val="24"/>
          <w:lang w:eastAsia="en-AU"/>
          <w14:ligatures w14:val="standardContextual"/>
        </w:rPr>
        <w:tab/>
      </w:r>
      <w:r>
        <w:t>Toxicity data used in derivation</w:t>
      </w:r>
      <w:r>
        <w:tab/>
      </w:r>
      <w:r>
        <w:fldChar w:fldCharType="begin"/>
      </w:r>
      <w:r>
        <w:instrText xml:space="preserve"> PAGEREF _Toc205549919 \h </w:instrText>
      </w:r>
      <w:r>
        <w:fldChar w:fldCharType="separate"/>
      </w:r>
      <w:r w:rsidR="00BA1209">
        <w:t>4</w:t>
      </w:r>
      <w:r>
        <w:fldChar w:fldCharType="end"/>
      </w:r>
    </w:p>
    <w:p w14:paraId="75181241" w14:textId="4B816AFA" w:rsidR="00B83F6F" w:rsidRDefault="00B83F6F">
      <w:pPr>
        <w:pStyle w:val="TOC2"/>
        <w:tabs>
          <w:tab w:val="left" w:pos="960"/>
        </w:tabs>
        <w:rPr>
          <w:rFonts w:eastAsiaTheme="minorEastAsia"/>
          <w:kern w:val="2"/>
          <w:sz w:val="24"/>
          <w:szCs w:val="24"/>
          <w:lang w:eastAsia="en-AU"/>
          <w14:ligatures w14:val="standardContextual"/>
        </w:rPr>
      </w:pPr>
      <w:r>
        <w:t>4.2</w:t>
      </w:r>
      <w:r>
        <w:rPr>
          <w:rFonts w:eastAsiaTheme="minorEastAsia"/>
          <w:kern w:val="2"/>
          <w:sz w:val="24"/>
          <w:szCs w:val="24"/>
          <w:lang w:eastAsia="en-AU"/>
          <w14:ligatures w14:val="standardContextual"/>
        </w:rPr>
        <w:tab/>
      </w:r>
      <w:r>
        <w:t>Species sensitivity distribution</w:t>
      </w:r>
      <w:r>
        <w:tab/>
      </w:r>
      <w:r>
        <w:fldChar w:fldCharType="begin"/>
      </w:r>
      <w:r>
        <w:instrText xml:space="preserve"> PAGEREF _Toc205549920 \h </w:instrText>
      </w:r>
      <w:r>
        <w:fldChar w:fldCharType="separate"/>
      </w:r>
      <w:r w:rsidR="00BA1209">
        <w:t>7</w:t>
      </w:r>
      <w:r>
        <w:fldChar w:fldCharType="end"/>
      </w:r>
    </w:p>
    <w:p w14:paraId="37814F76" w14:textId="5BF5288B" w:rsidR="00B83F6F" w:rsidRDefault="00B83F6F">
      <w:pPr>
        <w:pStyle w:val="TOC2"/>
        <w:tabs>
          <w:tab w:val="left" w:pos="960"/>
        </w:tabs>
        <w:rPr>
          <w:rFonts w:eastAsiaTheme="minorEastAsia"/>
          <w:kern w:val="2"/>
          <w:sz w:val="24"/>
          <w:szCs w:val="24"/>
          <w:lang w:eastAsia="en-AU"/>
          <w14:ligatures w14:val="standardContextual"/>
        </w:rPr>
      </w:pPr>
      <w:r>
        <w:t>4.3</w:t>
      </w:r>
      <w:r>
        <w:rPr>
          <w:rFonts w:eastAsiaTheme="minorEastAsia"/>
          <w:kern w:val="2"/>
          <w:sz w:val="24"/>
          <w:szCs w:val="24"/>
          <w:lang w:eastAsia="en-AU"/>
          <w14:ligatures w14:val="standardContextual"/>
        </w:rPr>
        <w:tab/>
      </w:r>
      <w:r>
        <w:t>Default guideline values</w:t>
      </w:r>
      <w:r>
        <w:tab/>
      </w:r>
      <w:r>
        <w:fldChar w:fldCharType="begin"/>
      </w:r>
      <w:r>
        <w:instrText xml:space="preserve"> PAGEREF _Toc205549921 \h </w:instrText>
      </w:r>
      <w:r>
        <w:fldChar w:fldCharType="separate"/>
      </w:r>
      <w:r w:rsidR="00BA1209">
        <w:t>8</w:t>
      </w:r>
      <w:r>
        <w:fldChar w:fldCharType="end"/>
      </w:r>
    </w:p>
    <w:p w14:paraId="76D2217A" w14:textId="010BA8F6" w:rsidR="00B83F6F" w:rsidRDefault="00B83F6F">
      <w:pPr>
        <w:pStyle w:val="TOC2"/>
        <w:tabs>
          <w:tab w:val="left" w:pos="960"/>
        </w:tabs>
        <w:rPr>
          <w:rFonts w:eastAsiaTheme="minorEastAsia"/>
          <w:kern w:val="2"/>
          <w:sz w:val="24"/>
          <w:szCs w:val="24"/>
          <w:lang w:eastAsia="en-AU"/>
          <w14:ligatures w14:val="standardContextual"/>
        </w:rPr>
      </w:pPr>
      <w:r>
        <w:t>4.4</w:t>
      </w:r>
      <w:r>
        <w:rPr>
          <w:rFonts w:eastAsiaTheme="minorEastAsia"/>
          <w:kern w:val="2"/>
          <w:sz w:val="24"/>
          <w:szCs w:val="24"/>
          <w:lang w:eastAsia="en-AU"/>
          <w14:ligatures w14:val="standardContextual"/>
        </w:rPr>
        <w:tab/>
      </w:r>
      <w:r>
        <w:t>Reliability classification</w:t>
      </w:r>
      <w:r>
        <w:tab/>
      </w:r>
      <w:r>
        <w:fldChar w:fldCharType="begin"/>
      </w:r>
      <w:r>
        <w:instrText xml:space="preserve"> PAGEREF _Toc205549922 \h </w:instrText>
      </w:r>
      <w:r>
        <w:fldChar w:fldCharType="separate"/>
      </w:r>
      <w:r w:rsidR="00BA1209">
        <w:t>8</w:t>
      </w:r>
      <w:r>
        <w:fldChar w:fldCharType="end"/>
      </w:r>
    </w:p>
    <w:p w14:paraId="765B4DB0" w14:textId="1B1C9AE6" w:rsidR="00B83F6F" w:rsidRDefault="00B83F6F">
      <w:pPr>
        <w:pStyle w:val="TOC1"/>
        <w:rPr>
          <w:rFonts w:eastAsiaTheme="minorEastAsia"/>
          <w:b w:val="0"/>
          <w:kern w:val="2"/>
          <w:sz w:val="24"/>
          <w:szCs w:val="24"/>
          <w:lang w:eastAsia="en-AU"/>
          <w14:ligatures w14:val="standardContextual"/>
        </w:rPr>
      </w:pPr>
      <w:r>
        <w:t>Glossary</w:t>
      </w:r>
      <w:r>
        <w:tab/>
      </w:r>
      <w:r>
        <w:fldChar w:fldCharType="begin"/>
      </w:r>
      <w:r>
        <w:instrText xml:space="preserve"> PAGEREF _Toc205549923 \h </w:instrText>
      </w:r>
      <w:r>
        <w:fldChar w:fldCharType="separate"/>
      </w:r>
      <w:r w:rsidR="00BA1209">
        <w:t>9</w:t>
      </w:r>
      <w:r>
        <w:fldChar w:fldCharType="end"/>
      </w:r>
    </w:p>
    <w:p w14:paraId="27C04942" w14:textId="47F056A1" w:rsidR="00B83F6F" w:rsidRDefault="00B83F6F">
      <w:pPr>
        <w:pStyle w:val="TOC1"/>
        <w:rPr>
          <w:rFonts w:eastAsiaTheme="minorEastAsia"/>
          <w:b w:val="0"/>
          <w:kern w:val="2"/>
          <w:sz w:val="24"/>
          <w:szCs w:val="24"/>
          <w:lang w:eastAsia="en-AU"/>
          <w14:ligatures w14:val="standardContextual"/>
        </w:rPr>
      </w:pPr>
      <w:r>
        <w:t>Appendix A: Toxicity data that passed the screening and quality assessment and were used to derive the default guideline values</w:t>
      </w:r>
      <w:r>
        <w:tab/>
      </w:r>
      <w:r>
        <w:fldChar w:fldCharType="begin"/>
      </w:r>
      <w:r>
        <w:instrText xml:space="preserve"> PAGEREF _Toc205549924 \h </w:instrText>
      </w:r>
      <w:r>
        <w:fldChar w:fldCharType="separate"/>
      </w:r>
      <w:r w:rsidR="00BA1209">
        <w:t>11</w:t>
      </w:r>
      <w:r>
        <w:fldChar w:fldCharType="end"/>
      </w:r>
    </w:p>
    <w:p w14:paraId="16C7273F" w14:textId="0CC11E91" w:rsidR="00B83F6F" w:rsidRDefault="00B83F6F">
      <w:pPr>
        <w:pStyle w:val="TOC1"/>
        <w:rPr>
          <w:rFonts w:eastAsiaTheme="minorEastAsia"/>
          <w:b w:val="0"/>
          <w:kern w:val="2"/>
          <w:sz w:val="24"/>
          <w:szCs w:val="24"/>
          <w:lang w:eastAsia="en-AU"/>
          <w14:ligatures w14:val="standardContextual"/>
        </w:rPr>
      </w:pPr>
      <w:r>
        <w:t xml:space="preserve">Appendix B: </w:t>
      </w:r>
      <w:r w:rsidRPr="004272C0">
        <w:t>Modality assessment for fipronil toxicity to aquatic species</w:t>
      </w:r>
      <w:r>
        <w:tab/>
      </w:r>
      <w:r>
        <w:fldChar w:fldCharType="begin"/>
      </w:r>
      <w:r>
        <w:instrText xml:space="preserve"> PAGEREF _Toc205549925 \h </w:instrText>
      </w:r>
      <w:r>
        <w:fldChar w:fldCharType="separate"/>
      </w:r>
      <w:r w:rsidR="00BA1209">
        <w:t>16</w:t>
      </w:r>
      <w:r>
        <w:fldChar w:fldCharType="end"/>
      </w:r>
    </w:p>
    <w:p w14:paraId="71394D30" w14:textId="0C0569F7" w:rsidR="00B83F6F" w:rsidRDefault="00B83F6F">
      <w:pPr>
        <w:pStyle w:val="TOC1"/>
        <w:rPr>
          <w:rFonts w:eastAsiaTheme="minorEastAsia"/>
          <w:b w:val="0"/>
          <w:kern w:val="2"/>
          <w:sz w:val="24"/>
          <w:szCs w:val="24"/>
          <w:lang w:eastAsia="en-AU"/>
          <w14:ligatures w14:val="standardContextual"/>
        </w:rPr>
      </w:pPr>
      <w:r>
        <w:t>References</w:t>
      </w:r>
      <w:r>
        <w:tab/>
      </w:r>
      <w:r>
        <w:fldChar w:fldCharType="begin"/>
      </w:r>
      <w:r>
        <w:instrText xml:space="preserve"> PAGEREF _Toc205549926 \h </w:instrText>
      </w:r>
      <w:r>
        <w:fldChar w:fldCharType="separate"/>
      </w:r>
      <w:r w:rsidR="00BA1209">
        <w:t>19</w:t>
      </w:r>
      <w:r>
        <w:fldChar w:fldCharType="end"/>
      </w:r>
    </w:p>
    <w:p w14:paraId="2AC67410" w14:textId="3E531835" w:rsidR="001C0D1C" w:rsidRDefault="00941E22" w:rsidP="00CF1E4A">
      <w:pPr>
        <w:pStyle w:val="TOCHeading2"/>
        <w:jc w:val="both"/>
      </w:pPr>
      <w:r w:rsidRPr="00CF1E4A">
        <w:rPr>
          <w:rFonts w:asciiTheme="minorHAnsi" w:eastAsiaTheme="minorHAnsi" w:hAnsiTheme="minorHAnsi" w:cstheme="minorBidi"/>
          <w:bCs w:val="0"/>
          <w:noProof/>
          <w:color w:val="auto"/>
          <w:sz w:val="22"/>
          <w:szCs w:val="24"/>
          <w:lang w:val="en-AU"/>
        </w:rPr>
        <w:fldChar w:fldCharType="end"/>
      </w:r>
      <w:r w:rsidR="00E55B1C">
        <w:t>Figures</w:t>
      </w:r>
    </w:p>
    <w:p w14:paraId="0EB8FE54" w14:textId="75B389FA" w:rsidR="0023068B" w:rsidRDefault="00EC7855">
      <w:pPr>
        <w:pStyle w:val="TableofFigures"/>
        <w:tabs>
          <w:tab w:val="right" w:leader="dot" w:pos="9061"/>
        </w:tabs>
        <w:rPr>
          <w:rFonts w:eastAsiaTheme="minorEastAsia"/>
          <w:noProof/>
          <w:kern w:val="2"/>
          <w:sz w:val="24"/>
          <w:szCs w:val="24"/>
          <w:lang w:eastAsia="en-AU"/>
          <w14:ligatures w14:val="standardContextual"/>
        </w:rPr>
      </w:pPr>
      <w:r w:rsidRPr="00EC7855">
        <w:rPr>
          <w:bCs/>
        </w:rPr>
        <w:fldChar w:fldCharType="begin"/>
      </w:r>
      <w:r w:rsidRPr="00EC7855">
        <w:rPr>
          <w:bCs/>
        </w:rPr>
        <w:instrText xml:space="preserve"> TOC \h \z \c "Figure" </w:instrText>
      </w:r>
      <w:r w:rsidRPr="00EC7855">
        <w:rPr>
          <w:bCs/>
        </w:rPr>
        <w:fldChar w:fldCharType="separate"/>
      </w:r>
      <w:hyperlink w:anchor="_Toc205549927" w:history="1">
        <w:r w:rsidR="0023068B" w:rsidRPr="00E82FA5">
          <w:rPr>
            <w:rStyle w:val="Hyperlink"/>
            <w:noProof/>
          </w:rPr>
          <w:t>Figure 1 Structure of fipronil</w:t>
        </w:r>
        <w:r w:rsidR="0023068B">
          <w:rPr>
            <w:noProof/>
            <w:webHidden/>
          </w:rPr>
          <w:tab/>
        </w:r>
        <w:r w:rsidR="0023068B">
          <w:rPr>
            <w:noProof/>
            <w:webHidden/>
          </w:rPr>
          <w:fldChar w:fldCharType="begin"/>
        </w:r>
        <w:r w:rsidR="0023068B">
          <w:rPr>
            <w:noProof/>
            <w:webHidden/>
          </w:rPr>
          <w:instrText xml:space="preserve"> PAGEREF _Toc205549927 \h </w:instrText>
        </w:r>
        <w:r w:rsidR="0023068B">
          <w:rPr>
            <w:noProof/>
            <w:webHidden/>
          </w:rPr>
        </w:r>
        <w:r w:rsidR="0023068B">
          <w:rPr>
            <w:noProof/>
            <w:webHidden/>
          </w:rPr>
          <w:fldChar w:fldCharType="separate"/>
        </w:r>
        <w:r w:rsidR="00BA1209">
          <w:rPr>
            <w:noProof/>
            <w:webHidden/>
          </w:rPr>
          <w:t>1</w:t>
        </w:r>
        <w:r w:rsidR="0023068B">
          <w:rPr>
            <w:noProof/>
            <w:webHidden/>
          </w:rPr>
          <w:fldChar w:fldCharType="end"/>
        </w:r>
      </w:hyperlink>
    </w:p>
    <w:p w14:paraId="6A019143" w14:textId="280E7995" w:rsidR="0023068B" w:rsidRDefault="0023068B">
      <w:pPr>
        <w:pStyle w:val="TableofFigures"/>
        <w:tabs>
          <w:tab w:val="right" w:leader="dot" w:pos="9061"/>
        </w:tabs>
        <w:rPr>
          <w:rFonts w:eastAsiaTheme="minorEastAsia"/>
          <w:noProof/>
          <w:kern w:val="2"/>
          <w:sz w:val="24"/>
          <w:szCs w:val="24"/>
          <w:lang w:eastAsia="en-AU"/>
          <w14:ligatures w14:val="standardContextual"/>
        </w:rPr>
      </w:pPr>
      <w:hyperlink w:anchor="_Toc205549928" w:history="1">
        <w:r w:rsidRPr="00E82FA5">
          <w:rPr>
            <w:rStyle w:val="Hyperlink"/>
            <w:noProof/>
          </w:rPr>
          <w:t>Figure 2 Species sensitivity distribution, fipronil in marine water</w:t>
        </w:r>
        <w:r>
          <w:rPr>
            <w:noProof/>
            <w:webHidden/>
          </w:rPr>
          <w:tab/>
        </w:r>
        <w:r>
          <w:rPr>
            <w:noProof/>
            <w:webHidden/>
          </w:rPr>
          <w:fldChar w:fldCharType="begin"/>
        </w:r>
        <w:r>
          <w:rPr>
            <w:noProof/>
            <w:webHidden/>
          </w:rPr>
          <w:instrText xml:space="preserve"> PAGEREF _Toc205549928 \h </w:instrText>
        </w:r>
        <w:r>
          <w:rPr>
            <w:noProof/>
            <w:webHidden/>
          </w:rPr>
        </w:r>
        <w:r>
          <w:rPr>
            <w:noProof/>
            <w:webHidden/>
          </w:rPr>
          <w:fldChar w:fldCharType="separate"/>
        </w:r>
        <w:r w:rsidR="00BA1209">
          <w:rPr>
            <w:noProof/>
            <w:webHidden/>
          </w:rPr>
          <w:t>7</w:t>
        </w:r>
        <w:r>
          <w:rPr>
            <w:noProof/>
            <w:webHidden/>
          </w:rPr>
          <w:fldChar w:fldCharType="end"/>
        </w:r>
      </w:hyperlink>
    </w:p>
    <w:p w14:paraId="2DA6F6F4" w14:textId="592EB2BF" w:rsidR="001C0D1C" w:rsidRDefault="00EC7855" w:rsidP="00CF1E4A">
      <w:pPr>
        <w:pStyle w:val="TOCHeading2"/>
        <w:jc w:val="both"/>
      </w:pPr>
      <w:r w:rsidRPr="00EC7855">
        <w:rPr>
          <w:rFonts w:asciiTheme="minorHAnsi" w:eastAsiaTheme="minorHAnsi" w:hAnsiTheme="minorHAnsi" w:cstheme="minorBidi"/>
          <w:color w:val="auto"/>
          <w:sz w:val="22"/>
          <w:szCs w:val="22"/>
          <w:lang w:val="en-AU"/>
        </w:rPr>
        <w:fldChar w:fldCharType="end"/>
      </w:r>
      <w:r w:rsidR="00E55B1C">
        <w:t>Tables</w:t>
      </w:r>
    </w:p>
    <w:p w14:paraId="112E19E2" w14:textId="16E991D5" w:rsidR="0023068B" w:rsidRDefault="00E55B1C">
      <w:pPr>
        <w:pStyle w:val="TableofFigures"/>
        <w:tabs>
          <w:tab w:val="right" w:leader="dot" w:pos="9061"/>
        </w:tabs>
        <w:rPr>
          <w:rFonts w:eastAsiaTheme="minorEastAsia"/>
          <w:noProof/>
          <w:kern w:val="2"/>
          <w:sz w:val="24"/>
          <w:szCs w:val="24"/>
          <w:lang w:eastAsia="en-AU"/>
          <w14:ligatures w14:val="standardContextual"/>
        </w:rPr>
      </w:pPr>
      <w:r>
        <w:rPr>
          <w:bCs/>
          <w:szCs w:val="24"/>
        </w:rPr>
        <w:fldChar w:fldCharType="begin"/>
      </w:r>
      <w:r>
        <w:rPr>
          <w:bCs/>
        </w:rPr>
        <w:instrText xml:space="preserve"> TOC \c "Table" </w:instrText>
      </w:r>
      <w:r>
        <w:rPr>
          <w:bCs/>
          <w:szCs w:val="24"/>
        </w:rPr>
        <w:fldChar w:fldCharType="separate"/>
      </w:r>
      <w:r w:rsidR="0023068B">
        <w:rPr>
          <w:noProof/>
        </w:rPr>
        <w:t>Table 1 Summary, physico-chemical properties of fipronil</w:t>
      </w:r>
      <w:r w:rsidR="0023068B">
        <w:rPr>
          <w:noProof/>
        </w:rPr>
        <w:tab/>
      </w:r>
      <w:r w:rsidR="0023068B">
        <w:rPr>
          <w:noProof/>
        </w:rPr>
        <w:fldChar w:fldCharType="begin"/>
      </w:r>
      <w:r w:rsidR="0023068B">
        <w:rPr>
          <w:noProof/>
        </w:rPr>
        <w:instrText xml:space="preserve"> PAGEREF _Toc205549929 \h </w:instrText>
      </w:r>
      <w:r w:rsidR="0023068B">
        <w:rPr>
          <w:noProof/>
        </w:rPr>
      </w:r>
      <w:r w:rsidR="0023068B">
        <w:rPr>
          <w:noProof/>
        </w:rPr>
        <w:fldChar w:fldCharType="separate"/>
      </w:r>
      <w:r w:rsidR="00BA1209">
        <w:rPr>
          <w:noProof/>
        </w:rPr>
        <w:t>1</w:t>
      </w:r>
      <w:r w:rsidR="0023068B">
        <w:rPr>
          <w:noProof/>
        </w:rPr>
        <w:fldChar w:fldCharType="end"/>
      </w:r>
    </w:p>
    <w:p w14:paraId="30A3BC62" w14:textId="37FEAE72" w:rsidR="0023068B" w:rsidRDefault="0023068B">
      <w:pPr>
        <w:pStyle w:val="TableofFigures"/>
        <w:tabs>
          <w:tab w:val="right" w:leader="dot" w:pos="9061"/>
        </w:tabs>
        <w:rPr>
          <w:rFonts w:eastAsiaTheme="minorEastAsia"/>
          <w:noProof/>
          <w:kern w:val="2"/>
          <w:sz w:val="24"/>
          <w:szCs w:val="24"/>
          <w:lang w:eastAsia="en-AU"/>
          <w14:ligatures w14:val="standardContextual"/>
        </w:rPr>
      </w:pPr>
      <w:r>
        <w:rPr>
          <w:noProof/>
        </w:rPr>
        <w:t>Table 2 Summary of single toxicity values, all species used to derive default guideline values for fipronil in marine water</w:t>
      </w:r>
      <w:r>
        <w:rPr>
          <w:noProof/>
        </w:rPr>
        <w:tab/>
      </w:r>
      <w:r>
        <w:rPr>
          <w:noProof/>
        </w:rPr>
        <w:fldChar w:fldCharType="begin"/>
      </w:r>
      <w:r>
        <w:rPr>
          <w:noProof/>
        </w:rPr>
        <w:instrText xml:space="preserve"> PAGEREF _Toc205549930 \h </w:instrText>
      </w:r>
      <w:r>
        <w:rPr>
          <w:noProof/>
        </w:rPr>
      </w:r>
      <w:r>
        <w:rPr>
          <w:noProof/>
        </w:rPr>
        <w:fldChar w:fldCharType="separate"/>
      </w:r>
      <w:r w:rsidR="00BA1209">
        <w:rPr>
          <w:noProof/>
        </w:rPr>
        <w:t>5</w:t>
      </w:r>
      <w:r>
        <w:rPr>
          <w:noProof/>
        </w:rPr>
        <w:fldChar w:fldCharType="end"/>
      </w:r>
    </w:p>
    <w:p w14:paraId="147EC7CE" w14:textId="334ABDE7" w:rsidR="0023068B" w:rsidRDefault="0023068B">
      <w:pPr>
        <w:pStyle w:val="TableofFigures"/>
        <w:tabs>
          <w:tab w:val="right" w:leader="dot" w:pos="9061"/>
        </w:tabs>
        <w:rPr>
          <w:rFonts w:eastAsiaTheme="minorEastAsia"/>
          <w:noProof/>
          <w:kern w:val="2"/>
          <w:sz w:val="24"/>
          <w:szCs w:val="24"/>
          <w:lang w:eastAsia="en-AU"/>
          <w14:ligatures w14:val="standardContextual"/>
        </w:rPr>
      </w:pPr>
      <w:r>
        <w:rPr>
          <w:noProof/>
        </w:rPr>
        <w:t>Table 3 Default guideline values, fipronil in marine water, moderate reliability</w:t>
      </w:r>
      <w:r>
        <w:rPr>
          <w:noProof/>
        </w:rPr>
        <w:tab/>
      </w:r>
      <w:r>
        <w:rPr>
          <w:noProof/>
        </w:rPr>
        <w:fldChar w:fldCharType="begin"/>
      </w:r>
      <w:r>
        <w:rPr>
          <w:noProof/>
        </w:rPr>
        <w:instrText xml:space="preserve"> PAGEREF _Toc205549931 \h </w:instrText>
      </w:r>
      <w:r>
        <w:rPr>
          <w:noProof/>
        </w:rPr>
      </w:r>
      <w:r>
        <w:rPr>
          <w:noProof/>
        </w:rPr>
        <w:fldChar w:fldCharType="separate"/>
      </w:r>
      <w:r w:rsidR="00BA1209">
        <w:rPr>
          <w:noProof/>
        </w:rPr>
        <w:t>8</w:t>
      </w:r>
      <w:r>
        <w:rPr>
          <w:noProof/>
        </w:rPr>
        <w:fldChar w:fldCharType="end"/>
      </w:r>
    </w:p>
    <w:p w14:paraId="39E9C5DE" w14:textId="5EC3F942" w:rsidR="00C73DA1" w:rsidRPr="00C73DA1" w:rsidRDefault="00E55B1C" w:rsidP="00C73DA1">
      <w:pPr>
        <w:pStyle w:val="TOCHeading2"/>
        <w:spacing w:after="120"/>
        <w:jc w:val="both"/>
      </w:pPr>
      <w:r>
        <w:fldChar w:fldCharType="end"/>
      </w:r>
      <w:r w:rsidR="00C73DA1" w:rsidRPr="00C73DA1">
        <w:t>Appendix figures</w:t>
      </w:r>
    </w:p>
    <w:p w14:paraId="3AAC5239" w14:textId="7AEAFF6F" w:rsidR="0023068B" w:rsidRDefault="00C73DA1">
      <w:pPr>
        <w:pStyle w:val="TableofFigures"/>
        <w:tabs>
          <w:tab w:val="right" w:leader="dot" w:pos="9061"/>
        </w:tabs>
        <w:rPr>
          <w:rFonts w:eastAsiaTheme="minorEastAsia"/>
          <w:noProof/>
          <w:kern w:val="2"/>
          <w:sz w:val="24"/>
          <w:szCs w:val="24"/>
          <w:lang w:eastAsia="en-AU"/>
          <w14:ligatures w14:val="standardContextual"/>
        </w:rPr>
      </w:pPr>
      <w:r>
        <w:rPr>
          <w:lang w:val="en-US"/>
        </w:rPr>
        <w:fldChar w:fldCharType="begin"/>
      </w:r>
      <w:r>
        <w:rPr>
          <w:lang w:val="en-US"/>
        </w:rPr>
        <w:instrText xml:space="preserve"> TOC \h \z \c "Figure B" </w:instrText>
      </w:r>
      <w:r>
        <w:rPr>
          <w:lang w:val="en-US"/>
        </w:rPr>
        <w:fldChar w:fldCharType="separate"/>
      </w:r>
      <w:hyperlink w:anchor="_Toc205549932" w:history="1">
        <w:r w:rsidR="0023068B" w:rsidRPr="005C051F">
          <w:rPr>
            <w:rStyle w:val="Hyperlink"/>
            <w:noProof/>
          </w:rPr>
          <w:t>Figure B 1 Box plot, freshwater, marine and estuarine species sensitivity to fipronil</w:t>
        </w:r>
        <w:r w:rsidR="0023068B">
          <w:rPr>
            <w:noProof/>
            <w:webHidden/>
          </w:rPr>
          <w:tab/>
        </w:r>
        <w:r w:rsidR="0023068B">
          <w:rPr>
            <w:noProof/>
            <w:webHidden/>
          </w:rPr>
          <w:fldChar w:fldCharType="begin"/>
        </w:r>
        <w:r w:rsidR="0023068B">
          <w:rPr>
            <w:noProof/>
            <w:webHidden/>
          </w:rPr>
          <w:instrText xml:space="preserve"> PAGEREF _Toc205549932 \h </w:instrText>
        </w:r>
        <w:r w:rsidR="0023068B">
          <w:rPr>
            <w:noProof/>
            <w:webHidden/>
          </w:rPr>
        </w:r>
        <w:r w:rsidR="0023068B">
          <w:rPr>
            <w:noProof/>
            <w:webHidden/>
          </w:rPr>
          <w:fldChar w:fldCharType="separate"/>
        </w:r>
        <w:r w:rsidR="00BA1209">
          <w:rPr>
            <w:noProof/>
            <w:webHidden/>
          </w:rPr>
          <w:t>16</w:t>
        </w:r>
        <w:r w:rsidR="0023068B">
          <w:rPr>
            <w:noProof/>
            <w:webHidden/>
          </w:rPr>
          <w:fldChar w:fldCharType="end"/>
        </w:r>
      </w:hyperlink>
    </w:p>
    <w:p w14:paraId="7FDB3224" w14:textId="1AB954C2" w:rsidR="0023068B" w:rsidRDefault="0023068B">
      <w:pPr>
        <w:pStyle w:val="TableofFigures"/>
        <w:tabs>
          <w:tab w:val="right" w:leader="dot" w:pos="9061"/>
        </w:tabs>
        <w:rPr>
          <w:rFonts w:eastAsiaTheme="minorEastAsia"/>
          <w:noProof/>
          <w:kern w:val="2"/>
          <w:sz w:val="24"/>
          <w:szCs w:val="24"/>
          <w:lang w:eastAsia="en-AU"/>
          <w14:ligatures w14:val="standardContextual"/>
        </w:rPr>
      </w:pPr>
      <w:hyperlink w:anchor="_Toc205549933" w:history="1">
        <w:r w:rsidRPr="005C051F">
          <w:rPr>
            <w:rStyle w:val="Hyperlink"/>
            <w:noProof/>
          </w:rPr>
          <w:t>Figure B 2 Histogram, freshwater, marine and estuarine species dataset</w:t>
        </w:r>
        <w:r>
          <w:rPr>
            <w:noProof/>
            <w:webHidden/>
          </w:rPr>
          <w:tab/>
        </w:r>
        <w:r>
          <w:rPr>
            <w:noProof/>
            <w:webHidden/>
          </w:rPr>
          <w:fldChar w:fldCharType="begin"/>
        </w:r>
        <w:r>
          <w:rPr>
            <w:noProof/>
            <w:webHidden/>
          </w:rPr>
          <w:instrText xml:space="preserve"> PAGEREF _Toc205549933 \h </w:instrText>
        </w:r>
        <w:r>
          <w:rPr>
            <w:noProof/>
            <w:webHidden/>
          </w:rPr>
        </w:r>
        <w:r>
          <w:rPr>
            <w:noProof/>
            <w:webHidden/>
          </w:rPr>
          <w:fldChar w:fldCharType="separate"/>
        </w:r>
        <w:r w:rsidR="00BA1209">
          <w:rPr>
            <w:noProof/>
            <w:webHidden/>
          </w:rPr>
          <w:t>17</w:t>
        </w:r>
        <w:r>
          <w:rPr>
            <w:noProof/>
            <w:webHidden/>
          </w:rPr>
          <w:fldChar w:fldCharType="end"/>
        </w:r>
      </w:hyperlink>
    </w:p>
    <w:p w14:paraId="171F7C54" w14:textId="293C6F21" w:rsidR="0023068B" w:rsidRDefault="0023068B">
      <w:pPr>
        <w:pStyle w:val="TableofFigures"/>
        <w:tabs>
          <w:tab w:val="right" w:leader="dot" w:pos="9061"/>
        </w:tabs>
        <w:rPr>
          <w:rFonts w:eastAsiaTheme="minorEastAsia"/>
          <w:noProof/>
          <w:kern w:val="2"/>
          <w:sz w:val="24"/>
          <w:szCs w:val="24"/>
          <w:lang w:eastAsia="en-AU"/>
          <w14:ligatures w14:val="standardContextual"/>
        </w:rPr>
      </w:pPr>
      <w:hyperlink w:anchor="_Toc205549934" w:history="1">
        <w:r w:rsidRPr="005C051F">
          <w:rPr>
            <w:rStyle w:val="Hyperlink"/>
            <w:noProof/>
          </w:rPr>
          <w:t>Figure B 3 Box plot, arthropod and non-arthropod sensitivity to fipronil</w:t>
        </w:r>
        <w:r>
          <w:rPr>
            <w:noProof/>
            <w:webHidden/>
          </w:rPr>
          <w:tab/>
        </w:r>
        <w:r>
          <w:rPr>
            <w:noProof/>
            <w:webHidden/>
          </w:rPr>
          <w:fldChar w:fldCharType="begin"/>
        </w:r>
        <w:r>
          <w:rPr>
            <w:noProof/>
            <w:webHidden/>
          </w:rPr>
          <w:instrText xml:space="preserve"> PAGEREF _Toc205549934 \h </w:instrText>
        </w:r>
        <w:r>
          <w:rPr>
            <w:noProof/>
            <w:webHidden/>
          </w:rPr>
        </w:r>
        <w:r>
          <w:rPr>
            <w:noProof/>
            <w:webHidden/>
          </w:rPr>
          <w:fldChar w:fldCharType="separate"/>
        </w:r>
        <w:r w:rsidR="00BA1209">
          <w:rPr>
            <w:noProof/>
            <w:webHidden/>
          </w:rPr>
          <w:t>17</w:t>
        </w:r>
        <w:r>
          <w:rPr>
            <w:noProof/>
            <w:webHidden/>
          </w:rPr>
          <w:fldChar w:fldCharType="end"/>
        </w:r>
      </w:hyperlink>
    </w:p>
    <w:p w14:paraId="2DF14FB3" w14:textId="6398E348" w:rsidR="0023068B" w:rsidRDefault="0023068B">
      <w:pPr>
        <w:pStyle w:val="TableofFigures"/>
        <w:tabs>
          <w:tab w:val="right" w:leader="dot" w:pos="9061"/>
        </w:tabs>
        <w:rPr>
          <w:rFonts w:eastAsiaTheme="minorEastAsia"/>
          <w:noProof/>
          <w:kern w:val="2"/>
          <w:sz w:val="24"/>
          <w:szCs w:val="24"/>
          <w:lang w:eastAsia="en-AU"/>
          <w14:ligatures w14:val="standardContextual"/>
        </w:rPr>
      </w:pPr>
      <w:hyperlink w:anchor="_Toc205549935" w:history="1">
        <w:r w:rsidRPr="005C051F">
          <w:rPr>
            <w:rStyle w:val="Hyperlink"/>
            <w:noProof/>
          </w:rPr>
          <w:t>Figure B 4 Species sensitivity distribution, arthropod and non-arthropod sensitivity to fipronil</w:t>
        </w:r>
        <w:r>
          <w:rPr>
            <w:noProof/>
            <w:webHidden/>
          </w:rPr>
          <w:tab/>
        </w:r>
        <w:r>
          <w:rPr>
            <w:noProof/>
            <w:webHidden/>
          </w:rPr>
          <w:fldChar w:fldCharType="begin"/>
        </w:r>
        <w:r>
          <w:rPr>
            <w:noProof/>
            <w:webHidden/>
          </w:rPr>
          <w:instrText xml:space="preserve"> PAGEREF _Toc205549935 \h </w:instrText>
        </w:r>
        <w:r>
          <w:rPr>
            <w:noProof/>
            <w:webHidden/>
          </w:rPr>
        </w:r>
        <w:r>
          <w:rPr>
            <w:noProof/>
            <w:webHidden/>
          </w:rPr>
          <w:fldChar w:fldCharType="separate"/>
        </w:r>
        <w:r w:rsidR="00BA1209">
          <w:rPr>
            <w:noProof/>
            <w:webHidden/>
          </w:rPr>
          <w:t>18</w:t>
        </w:r>
        <w:r>
          <w:rPr>
            <w:noProof/>
            <w:webHidden/>
          </w:rPr>
          <w:fldChar w:fldCharType="end"/>
        </w:r>
      </w:hyperlink>
    </w:p>
    <w:p w14:paraId="74FBDB01" w14:textId="1D8B4DD0" w:rsidR="00C73DA1" w:rsidRDefault="00C73DA1" w:rsidP="00C73DA1">
      <w:pPr>
        <w:pStyle w:val="TableofFigures"/>
        <w:tabs>
          <w:tab w:val="right" w:leader="dot" w:pos="9060"/>
        </w:tabs>
        <w:rPr>
          <w:bCs/>
          <w:szCs w:val="24"/>
        </w:rPr>
      </w:pPr>
      <w:r>
        <w:rPr>
          <w:lang w:val="en-US"/>
        </w:rPr>
        <w:fldChar w:fldCharType="end"/>
      </w:r>
      <w:r w:rsidRPr="0042697C">
        <w:rPr>
          <w:rFonts w:ascii="Calibri" w:eastAsiaTheme="majorEastAsia" w:hAnsi="Calibri" w:cstheme="majorBidi"/>
          <w:color w:val="427BA1"/>
          <w:sz w:val="36"/>
          <w:szCs w:val="24"/>
          <w:lang w:val="en-US"/>
        </w:rPr>
        <w:t>Appendix tables</w:t>
      </w:r>
    </w:p>
    <w:p w14:paraId="70B4B487" w14:textId="674B7B66" w:rsidR="0023068B" w:rsidRDefault="00C73DA1">
      <w:pPr>
        <w:pStyle w:val="TableofFigures"/>
        <w:tabs>
          <w:tab w:val="right" w:leader="dot" w:pos="9061"/>
        </w:tabs>
        <w:rPr>
          <w:rFonts w:eastAsiaTheme="minorEastAsia"/>
          <w:noProof/>
          <w:kern w:val="2"/>
          <w:sz w:val="24"/>
          <w:szCs w:val="24"/>
          <w:lang w:eastAsia="en-AU"/>
          <w14:ligatures w14:val="standardContextual"/>
        </w:rPr>
      </w:pPr>
      <w:r>
        <w:rPr>
          <w:bCs/>
        </w:rPr>
        <w:fldChar w:fldCharType="begin"/>
      </w:r>
      <w:r>
        <w:rPr>
          <w:bCs/>
        </w:rPr>
        <w:instrText xml:space="preserve"> TOC \h \z \c "Table A" </w:instrText>
      </w:r>
      <w:r>
        <w:rPr>
          <w:bCs/>
        </w:rPr>
        <w:fldChar w:fldCharType="separate"/>
      </w:r>
      <w:hyperlink w:anchor="_Toc205549936" w:history="1">
        <w:r w:rsidR="0023068B" w:rsidRPr="00A7488F">
          <w:rPr>
            <w:rStyle w:val="Hyperlink"/>
            <w:noProof/>
          </w:rPr>
          <w:t>Table A 1</w:t>
        </w:r>
        <w:r w:rsidR="0023068B" w:rsidRPr="00A7488F">
          <w:rPr>
            <w:rStyle w:val="Hyperlink"/>
            <w:noProof/>
            <w:lang w:eastAsia="ja-JP"/>
          </w:rPr>
          <w:t xml:space="preserve"> Summary, toxicity data that passed the screening and quality assessment, for fipronil in marine water</w:t>
        </w:r>
        <w:r w:rsidR="0023068B">
          <w:rPr>
            <w:noProof/>
            <w:webHidden/>
          </w:rPr>
          <w:tab/>
        </w:r>
        <w:r w:rsidR="0023068B">
          <w:rPr>
            <w:noProof/>
            <w:webHidden/>
          </w:rPr>
          <w:fldChar w:fldCharType="begin"/>
        </w:r>
        <w:r w:rsidR="0023068B">
          <w:rPr>
            <w:noProof/>
            <w:webHidden/>
          </w:rPr>
          <w:instrText xml:space="preserve"> PAGEREF _Toc205549936 \h </w:instrText>
        </w:r>
        <w:r w:rsidR="0023068B">
          <w:rPr>
            <w:noProof/>
            <w:webHidden/>
          </w:rPr>
        </w:r>
        <w:r w:rsidR="0023068B">
          <w:rPr>
            <w:noProof/>
            <w:webHidden/>
          </w:rPr>
          <w:fldChar w:fldCharType="separate"/>
        </w:r>
        <w:r w:rsidR="00BA1209">
          <w:rPr>
            <w:noProof/>
            <w:webHidden/>
          </w:rPr>
          <w:t>11</w:t>
        </w:r>
        <w:r w:rsidR="0023068B">
          <w:rPr>
            <w:noProof/>
            <w:webHidden/>
          </w:rPr>
          <w:fldChar w:fldCharType="end"/>
        </w:r>
      </w:hyperlink>
    </w:p>
    <w:p w14:paraId="2AE0F64E" w14:textId="5F7E846B" w:rsidR="00401C43" w:rsidRDefault="00C73DA1" w:rsidP="00F56251">
      <w:pPr>
        <w:pStyle w:val="TableofFigures"/>
        <w:tabs>
          <w:tab w:val="right" w:leader="dot" w:pos="9060"/>
        </w:tabs>
      </w:pPr>
      <w:r>
        <w:fldChar w:fldCharType="end"/>
      </w:r>
      <w:r w:rsidR="00401C43">
        <w:br w:type="page"/>
      </w:r>
    </w:p>
    <w:p w14:paraId="1355DD2A" w14:textId="77777777" w:rsidR="008F7426" w:rsidRPr="00660EA7" w:rsidRDefault="008F7426" w:rsidP="00660EA7">
      <w:pPr>
        <w:pStyle w:val="Heading2"/>
        <w:numPr>
          <w:ilvl w:val="0"/>
          <w:numId w:val="0"/>
        </w:numPr>
        <w:ind w:left="680" w:hanging="680"/>
      </w:pPr>
      <w:bookmarkStart w:id="2" w:name="_Toc46327086"/>
      <w:bookmarkStart w:id="3" w:name="_Toc205549912"/>
      <w:r w:rsidRPr="00660EA7">
        <w:lastRenderedPageBreak/>
        <w:t>Summary</w:t>
      </w:r>
      <w:bookmarkEnd w:id="2"/>
      <w:bookmarkEnd w:id="3"/>
    </w:p>
    <w:p w14:paraId="20B9EA83" w14:textId="0E158219" w:rsidR="00EB72F1" w:rsidRDefault="00EB72F1" w:rsidP="007C4E2A">
      <w:pPr>
        <w:rPr>
          <w:bCs/>
        </w:rPr>
      </w:pPr>
      <w:r w:rsidRPr="00BF6347">
        <w:t xml:space="preserve">The default guideline values (DGVs) and associated information in this technical brief should be used in accordance with the detailed guidance provided in the Australian and New Zealand Guidelines for Fresh and Marine Water Quality website (www.waterquality.gov.au/anz-guidelines). </w:t>
      </w:r>
    </w:p>
    <w:p w14:paraId="2027860D" w14:textId="3B640E86" w:rsidR="00B75665" w:rsidRPr="00431953" w:rsidRDefault="00B75665" w:rsidP="007C4E2A">
      <w:pPr>
        <w:rPr>
          <w:bCs/>
        </w:rPr>
      </w:pPr>
      <w:r w:rsidRPr="00DF5256">
        <w:rPr>
          <w:bCs/>
        </w:rPr>
        <w:t>Fipronil (5-amino-3-cyano-1-(2,6-dichloro-4-trifluoromethylphenyl)-4-fluoromethylsulfinyl pyrazole</w:t>
      </w:r>
      <w:r>
        <w:rPr>
          <w:bCs/>
        </w:rPr>
        <w:t>)</w:t>
      </w:r>
      <w:r w:rsidRPr="00DF5256">
        <w:rPr>
          <w:bCs/>
        </w:rPr>
        <w:t xml:space="preserve"> </w:t>
      </w:r>
      <w:r>
        <w:rPr>
          <w:bCs/>
        </w:rPr>
        <w:t>is a broad-spectrum</w:t>
      </w:r>
      <w:r w:rsidRPr="00DF5256">
        <w:rPr>
          <w:bCs/>
        </w:rPr>
        <w:t xml:space="preserve"> pyrazole insecticide or</w:t>
      </w:r>
      <w:r w:rsidR="00872714">
        <w:rPr>
          <w:bCs/>
        </w:rPr>
        <w:t>,</w:t>
      </w:r>
      <w:r w:rsidRPr="00DF5256">
        <w:rPr>
          <w:bCs/>
        </w:rPr>
        <w:t xml:space="preserve"> more specifically, a </w:t>
      </w:r>
      <w:r>
        <w:rPr>
          <w:bCs/>
        </w:rPr>
        <w:t xml:space="preserve">phenylpyrazole insecticide. </w:t>
      </w:r>
      <w:r w:rsidRPr="00431953">
        <w:rPr>
          <w:bCs/>
        </w:rPr>
        <w:t xml:space="preserve">Fipronil </w:t>
      </w:r>
      <w:r w:rsidR="00636E83">
        <w:rPr>
          <w:bCs/>
        </w:rPr>
        <w:t xml:space="preserve">is used for </w:t>
      </w:r>
      <w:r w:rsidR="00636E83" w:rsidRPr="00636E83">
        <w:rPr>
          <w:bCs/>
        </w:rPr>
        <w:t>the selective control of insect</w:t>
      </w:r>
      <w:r w:rsidR="00636E83">
        <w:rPr>
          <w:bCs/>
        </w:rPr>
        <w:t>s</w:t>
      </w:r>
      <w:r w:rsidR="00636E83" w:rsidRPr="00636E83">
        <w:rPr>
          <w:bCs/>
        </w:rPr>
        <w:t xml:space="preserve"> in a variety of cro</w:t>
      </w:r>
      <w:r w:rsidR="00636E83">
        <w:rPr>
          <w:bCs/>
        </w:rPr>
        <w:t xml:space="preserve">ps, and it </w:t>
      </w:r>
      <w:r w:rsidRPr="00431953">
        <w:rPr>
          <w:bCs/>
        </w:rPr>
        <w:t xml:space="preserve">exhibits its toxicity by interfering with the γ-aminobutyric acid (GABA) </w:t>
      </w:r>
      <w:r w:rsidR="007166DD">
        <w:rPr>
          <w:bCs/>
        </w:rPr>
        <w:t xml:space="preserve">receptors and </w:t>
      </w:r>
      <w:r w:rsidR="007166DD" w:rsidRPr="007166DD">
        <w:rPr>
          <w:bCs/>
        </w:rPr>
        <w:t>glutamate</w:t>
      </w:r>
      <w:r w:rsidR="007166DD">
        <w:rPr>
          <w:bCs/>
        </w:rPr>
        <w:t>-</w:t>
      </w:r>
      <w:r w:rsidRPr="00431953">
        <w:rPr>
          <w:bCs/>
        </w:rPr>
        <w:t xml:space="preserve">gated chloride </w:t>
      </w:r>
      <w:r w:rsidRPr="002B4DA6">
        <w:rPr>
          <w:bCs/>
        </w:rPr>
        <w:t xml:space="preserve">channels of invertebrates (BCPC 2012; University of Hertfordshire 2013). </w:t>
      </w:r>
      <w:r w:rsidR="002B4DA6" w:rsidRPr="002B4DA6">
        <w:rPr>
          <w:rFonts w:cstheme="minorHAnsi"/>
        </w:rPr>
        <w:t xml:space="preserve">Fipronil is </w:t>
      </w:r>
      <w:r w:rsidR="009D72DD">
        <w:rPr>
          <w:rFonts w:cstheme="minorHAnsi"/>
        </w:rPr>
        <w:t xml:space="preserve">registered for </w:t>
      </w:r>
      <w:r w:rsidR="002B4DA6" w:rsidRPr="002B4DA6">
        <w:rPr>
          <w:rFonts w:cstheme="minorHAnsi"/>
        </w:rPr>
        <w:t>appli</w:t>
      </w:r>
      <w:r w:rsidR="009D72DD">
        <w:rPr>
          <w:rFonts w:cstheme="minorHAnsi"/>
        </w:rPr>
        <w:t>cation</w:t>
      </w:r>
      <w:r w:rsidR="002B4DA6" w:rsidRPr="002B4DA6">
        <w:rPr>
          <w:rFonts w:cstheme="minorHAnsi"/>
        </w:rPr>
        <w:t xml:space="preserve"> to a range of agricultural crops including fibres, fruit, fungi, grains, </w:t>
      </w:r>
      <w:r w:rsidR="008E7FF9">
        <w:rPr>
          <w:rFonts w:cstheme="minorHAnsi"/>
        </w:rPr>
        <w:t>pas</w:t>
      </w:r>
      <w:r w:rsidR="00605D57">
        <w:rPr>
          <w:rFonts w:cstheme="minorHAnsi"/>
        </w:rPr>
        <w:t xml:space="preserve">ture, </w:t>
      </w:r>
      <w:r w:rsidR="00025C58">
        <w:rPr>
          <w:rFonts w:cstheme="minorHAnsi"/>
        </w:rPr>
        <w:t>grass</w:t>
      </w:r>
      <w:r w:rsidR="002B4DA6" w:rsidRPr="002B4DA6">
        <w:rPr>
          <w:rFonts w:cstheme="minorHAnsi"/>
        </w:rPr>
        <w:t>, herbs, oil</w:t>
      </w:r>
      <w:r w:rsidR="00FE639E">
        <w:rPr>
          <w:rFonts w:cstheme="minorHAnsi"/>
        </w:rPr>
        <w:t>seed</w:t>
      </w:r>
      <w:r w:rsidR="002B4DA6" w:rsidRPr="002B4DA6">
        <w:rPr>
          <w:rFonts w:cstheme="minorHAnsi"/>
        </w:rPr>
        <w:t>, and vegetables</w:t>
      </w:r>
      <w:r w:rsidR="00BB341E">
        <w:rPr>
          <w:rFonts w:cstheme="minorHAnsi"/>
        </w:rPr>
        <w:t xml:space="preserve"> </w:t>
      </w:r>
      <w:r w:rsidR="00BB341E" w:rsidRPr="002B4DA6">
        <w:rPr>
          <w:rFonts w:cstheme="minorHAnsi"/>
        </w:rPr>
        <w:t>(</w:t>
      </w:r>
      <w:r w:rsidR="00BB341E" w:rsidRPr="00447B72">
        <w:rPr>
          <w:rFonts w:cstheme="minorHAnsi"/>
        </w:rPr>
        <w:t>APVMA 2020)</w:t>
      </w:r>
      <w:r w:rsidR="002B4DA6" w:rsidRPr="002B4DA6">
        <w:rPr>
          <w:rFonts w:cstheme="minorHAnsi"/>
        </w:rPr>
        <w:t>. Non-agricultural uses include application to lawn</w:t>
      </w:r>
      <w:r w:rsidR="00636E83">
        <w:rPr>
          <w:rFonts w:cstheme="minorHAnsi"/>
        </w:rPr>
        <w:t>s, sports fields and</w:t>
      </w:r>
      <w:r w:rsidR="002B4DA6" w:rsidRPr="002B4DA6">
        <w:rPr>
          <w:rFonts w:cstheme="minorHAnsi"/>
        </w:rPr>
        <w:t xml:space="preserve"> timber plantations </w:t>
      </w:r>
      <w:r w:rsidR="002B4DA6" w:rsidRPr="00447B72">
        <w:rPr>
          <w:rFonts w:cstheme="minorHAnsi"/>
        </w:rPr>
        <w:t xml:space="preserve">and </w:t>
      </w:r>
      <w:r w:rsidR="00636E83">
        <w:rPr>
          <w:rFonts w:cstheme="minorHAnsi"/>
        </w:rPr>
        <w:t xml:space="preserve">for the </w:t>
      </w:r>
      <w:r w:rsidR="002B4DA6" w:rsidRPr="00447B72">
        <w:rPr>
          <w:rFonts w:cstheme="minorHAnsi"/>
        </w:rPr>
        <w:t>treatment</w:t>
      </w:r>
      <w:r w:rsidR="002B4DA6" w:rsidRPr="002B4DA6">
        <w:rPr>
          <w:rFonts w:cstheme="minorHAnsi"/>
        </w:rPr>
        <w:t xml:space="preserve"> of fleas and ticks on pets</w:t>
      </w:r>
      <w:r w:rsidR="00610E87">
        <w:rPr>
          <w:rFonts w:cstheme="minorHAnsi"/>
        </w:rPr>
        <w:t xml:space="preserve"> </w:t>
      </w:r>
      <w:r w:rsidR="00610E87" w:rsidRPr="002B4DA6">
        <w:rPr>
          <w:rFonts w:cstheme="minorHAnsi"/>
        </w:rPr>
        <w:t>(</w:t>
      </w:r>
      <w:r w:rsidR="00610E87" w:rsidRPr="00447B72">
        <w:rPr>
          <w:rFonts w:cstheme="minorHAnsi"/>
        </w:rPr>
        <w:t>APVMA 2020)</w:t>
      </w:r>
      <w:r w:rsidR="002B4DA6" w:rsidRPr="002B4DA6">
        <w:rPr>
          <w:rFonts w:cstheme="minorHAnsi"/>
        </w:rPr>
        <w:t>.</w:t>
      </w:r>
    </w:p>
    <w:p w14:paraId="274E534D" w14:textId="562F91E2" w:rsidR="00B75665" w:rsidRDefault="00B75665" w:rsidP="007C4E2A">
      <w:r>
        <w:t>Previously, no Australian and New Zealand DGV</w:t>
      </w:r>
      <w:r w:rsidR="00265FC0">
        <w:t>s</w:t>
      </w:r>
      <w:r w:rsidRPr="006946C3">
        <w:t xml:space="preserve"> existed </w:t>
      </w:r>
      <w:r w:rsidRPr="00431953">
        <w:t>for fipronil in fresh</w:t>
      </w:r>
      <w:r w:rsidR="00265FC0">
        <w:t>water</w:t>
      </w:r>
      <w:r>
        <w:t xml:space="preserve"> or marine </w:t>
      </w:r>
      <w:r w:rsidR="008A1E34">
        <w:t>water</w:t>
      </w:r>
      <w:r w:rsidRPr="00431953">
        <w:t xml:space="preserve">. </w:t>
      </w:r>
      <w:r w:rsidR="00366593">
        <w:t>D</w:t>
      </w:r>
      <w:r w:rsidRPr="009C3830">
        <w:t xml:space="preserve">ata on </w:t>
      </w:r>
      <w:r>
        <w:t>fipronil</w:t>
      </w:r>
      <w:r w:rsidRPr="009C3830">
        <w:t xml:space="preserve"> toxicity </w:t>
      </w:r>
      <w:r>
        <w:t xml:space="preserve">to marine species </w:t>
      </w:r>
      <w:r w:rsidRPr="009C3830">
        <w:t xml:space="preserve">are </w:t>
      </w:r>
      <w:r w:rsidR="00366593">
        <w:t xml:space="preserve">still scarce and </w:t>
      </w:r>
      <w:r w:rsidR="00674ADD">
        <w:t xml:space="preserve">are insufficient to derive DGVs without </w:t>
      </w:r>
      <w:r w:rsidR="00265FC0">
        <w:t>including</w:t>
      </w:r>
      <w:r w:rsidR="00EB72F1">
        <w:t xml:space="preserve"> </w:t>
      </w:r>
      <w:r w:rsidR="00265FC0">
        <w:t xml:space="preserve">estuarine and freshwater </w:t>
      </w:r>
      <w:r w:rsidR="00EB72F1">
        <w:t>toxicity data</w:t>
      </w:r>
      <w:r w:rsidRPr="002B4354">
        <w:t>.</w:t>
      </w:r>
    </w:p>
    <w:p w14:paraId="02DE7BC1" w14:textId="424C9281" w:rsidR="00B75665" w:rsidRDefault="00B75665" w:rsidP="007C4E2A">
      <w:r w:rsidRPr="00A40CF0">
        <w:t>Fipronil is more toxic to arthropod</w:t>
      </w:r>
      <w:r w:rsidR="00E744F6">
        <w:t>s</w:t>
      </w:r>
      <w:r w:rsidRPr="00A40CF0">
        <w:t xml:space="preserve"> (particularly insects) than to non-arthropods</w:t>
      </w:r>
      <w:r w:rsidR="00E744F6">
        <w:t>;</w:t>
      </w:r>
      <w:r w:rsidR="008A1E34">
        <w:t xml:space="preserve"> as such, </w:t>
      </w:r>
      <w:r w:rsidR="00E744F6">
        <w:t xml:space="preserve">it </w:t>
      </w:r>
      <w:r w:rsidR="008A1E34">
        <w:t>exhibits bimodal toxicity for aquatic species</w:t>
      </w:r>
      <w:r w:rsidR="00F35CA0">
        <w:t>. T</w:t>
      </w:r>
      <w:r w:rsidR="00B90A6A">
        <w:t>herefore,</w:t>
      </w:r>
      <w:r>
        <w:t xml:space="preserve"> only the toxicity data for arthropods were used to derive the</w:t>
      </w:r>
      <w:r w:rsidR="00C4502E">
        <w:t xml:space="preserve"> DGVs</w:t>
      </w:r>
      <w:r>
        <w:t>.</w:t>
      </w:r>
      <w:r w:rsidRPr="009237D8">
        <w:t xml:space="preserve"> </w:t>
      </w:r>
      <w:r w:rsidRPr="00431953">
        <w:t>The lowest re</w:t>
      </w:r>
      <w:r>
        <w:t xml:space="preserve">ported </w:t>
      </w:r>
      <w:r w:rsidR="00F35CA0">
        <w:t xml:space="preserve">acute and </w:t>
      </w:r>
      <w:r>
        <w:t>chronic toxicity value</w:t>
      </w:r>
      <w:r w:rsidR="00F35CA0">
        <w:t>s</w:t>
      </w:r>
      <w:r>
        <w:t xml:space="preserve"> for</w:t>
      </w:r>
      <w:r w:rsidRPr="00431953">
        <w:t xml:space="preserve"> freshwater species </w:t>
      </w:r>
      <w:r w:rsidR="00F35CA0">
        <w:t xml:space="preserve">are </w:t>
      </w:r>
      <w:r w:rsidR="00F35CA0" w:rsidRPr="00431953">
        <w:t>0.1</w:t>
      </w:r>
      <w:r w:rsidR="00F35CA0">
        <w:t>4</w:t>
      </w:r>
      <w:r w:rsidR="00F35CA0" w:rsidRPr="00431953">
        <w:t xml:space="preserve"> µg/L (insect, </w:t>
      </w:r>
      <w:r w:rsidR="00F35CA0">
        <w:t>96-</w:t>
      </w:r>
      <w:r w:rsidR="00F35CA0" w:rsidRPr="00431953">
        <w:t xml:space="preserve">h </w:t>
      </w:r>
      <w:r w:rsidR="00F35CA0">
        <w:t>NOEL</w:t>
      </w:r>
      <w:r w:rsidR="00F35CA0" w:rsidRPr="00431953">
        <w:t>)</w:t>
      </w:r>
      <w:r w:rsidR="00F35CA0">
        <w:t xml:space="preserve"> and</w:t>
      </w:r>
      <w:r w:rsidR="00F35CA0" w:rsidRPr="00431953">
        <w:t xml:space="preserve"> </w:t>
      </w:r>
      <w:r w:rsidRPr="00431953">
        <w:t>2 µg/L (cladoceran, 8</w:t>
      </w:r>
      <w:r>
        <w:t>-</w:t>
      </w:r>
      <w:r w:rsidRPr="00431953">
        <w:t>d LOEC)</w:t>
      </w:r>
      <w:r w:rsidR="00F35CA0">
        <w:t>, respectively</w:t>
      </w:r>
      <w:r w:rsidRPr="00431953">
        <w:t>. The lowest re</w:t>
      </w:r>
      <w:r>
        <w:t>ported</w:t>
      </w:r>
      <w:r w:rsidR="00F35CA0">
        <w:t xml:space="preserve"> acute and</w:t>
      </w:r>
      <w:r>
        <w:t xml:space="preserve"> chronic toxicity value</w:t>
      </w:r>
      <w:r w:rsidR="00F35CA0">
        <w:t>s</w:t>
      </w:r>
      <w:r>
        <w:t xml:space="preserve"> for</w:t>
      </w:r>
      <w:r w:rsidRPr="00431953">
        <w:t xml:space="preserve"> </w:t>
      </w:r>
      <w:r w:rsidR="002948C5">
        <w:t xml:space="preserve">estuarine and </w:t>
      </w:r>
      <w:r w:rsidRPr="00431953">
        <w:t xml:space="preserve">marine species </w:t>
      </w:r>
      <w:r w:rsidR="00F35CA0">
        <w:t>are</w:t>
      </w:r>
      <w:r w:rsidR="00F35CA0" w:rsidRPr="00431953">
        <w:t xml:space="preserve"> 0.031</w:t>
      </w:r>
      <w:r w:rsidR="00F35CA0">
        <w:t> </w:t>
      </w:r>
      <w:r w:rsidR="00F35CA0" w:rsidRPr="00431953">
        <w:t>µg/L (crustacean, 96</w:t>
      </w:r>
      <w:r w:rsidR="00F35CA0">
        <w:t>-</w:t>
      </w:r>
      <w:r w:rsidR="00F35CA0" w:rsidRPr="00431953">
        <w:t>h NOEL)</w:t>
      </w:r>
      <w:r w:rsidR="00F35CA0">
        <w:t xml:space="preserve"> and </w:t>
      </w:r>
      <w:r w:rsidRPr="00431953">
        <w:t>0.005 µg/L (</w:t>
      </w:r>
      <w:r w:rsidR="00C4502E">
        <w:t>crustacean</w:t>
      </w:r>
      <w:r w:rsidRPr="00431953">
        <w:t>, 28</w:t>
      </w:r>
      <w:r w:rsidR="00143CDC">
        <w:t>-</w:t>
      </w:r>
      <w:r w:rsidRPr="00431953">
        <w:t>d LOEC)</w:t>
      </w:r>
      <w:r w:rsidR="00F35CA0">
        <w:t>, respectively.</w:t>
      </w:r>
      <w:r w:rsidRPr="00431953">
        <w:t xml:space="preserve"> </w:t>
      </w:r>
    </w:p>
    <w:p w14:paraId="03CD4863" w14:textId="15C00844" w:rsidR="00B2694B" w:rsidRDefault="00B75665" w:rsidP="007C4E2A">
      <w:r>
        <w:t xml:space="preserve">Moderate reliability DGVs for fipronil in marine water were derived based on </w:t>
      </w:r>
      <w:r w:rsidRPr="00796F0B">
        <w:t xml:space="preserve">chronic and chronic estimated </w:t>
      </w:r>
      <w:r w:rsidR="00F04260">
        <w:t xml:space="preserve">negligible </w:t>
      </w:r>
      <w:r>
        <w:t xml:space="preserve">effect </w:t>
      </w:r>
      <w:r w:rsidR="00366593">
        <w:t xml:space="preserve">values </w:t>
      </w:r>
      <w:r w:rsidR="002D4AB9">
        <w:t xml:space="preserve">combined </w:t>
      </w:r>
      <w:r>
        <w:t>with</w:t>
      </w:r>
      <w:r w:rsidRPr="00796F0B">
        <w:t xml:space="preserve"> converted acute </w:t>
      </w:r>
      <w:r>
        <w:t xml:space="preserve">values for </w:t>
      </w:r>
      <w:r w:rsidR="00B04BC8">
        <w:t>24</w:t>
      </w:r>
      <w:r w:rsidR="00F06175">
        <w:t> </w:t>
      </w:r>
      <w:r>
        <w:t>arthropod species (</w:t>
      </w:r>
      <w:r w:rsidR="002948C5">
        <w:t>one</w:t>
      </w:r>
      <w:r w:rsidR="00F06175">
        <w:t> </w:t>
      </w:r>
      <w:r>
        <w:t>marine</w:t>
      </w:r>
      <w:r w:rsidR="002948C5">
        <w:t>, two</w:t>
      </w:r>
      <w:r w:rsidR="00F06175">
        <w:t> </w:t>
      </w:r>
      <w:r w:rsidR="002948C5">
        <w:t>estuarine</w:t>
      </w:r>
      <w:r>
        <w:t xml:space="preserve"> and </w:t>
      </w:r>
      <w:r w:rsidR="00B04BC8">
        <w:t>21</w:t>
      </w:r>
      <w:r w:rsidR="00F06175">
        <w:t> </w:t>
      </w:r>
      <w:r>
        <w:t xml:space="preserve">freshwater) belonging to one phylum (Arthropoda), </w:t>
      </w:r>
      <w:r w:rsidR="00366593">
        <w:t xml:space="preserve">with </w:t>
      </w:r>
      <w:r>
        <w:t>a good fit of</w:t>
      </w:r>
      <w:r w:rsidR="00B90A6A">
        <w:t xml:space="preserve"> </w:t>
      </w:r>
      <w:r w:rsidR="008A1E34">
        <w:t xml:space="preserve">the </w:t>
      </w:r>
      <w:r>
        <w:t xml:space="preserve">species sensitivity distribution (SSD) </w:t>
      </w:r>
      <w:r w:rsidR="00366593">
        <w:t xml:space="preserve">to </w:t>
      </w:r>
      <w:r>
        <w:t>the toxicity data.</w:t>
      </w:r>
      <w:r w:rsidRPr="00A53C9D">
        <w:t xml:space="preserve"> </w:t>
      </w:r>
    </w:p>
    <w:p w14:paraId="7FA54B31" w14:textId="5661100E" w:rsidR="008F7426" w:rsidRPr="00007CE0" w:rsidRDefault="005C6862" w:rsidP="007C4E2A">
      <w:r>
        <w:t>T</w:t>
      </w:r>
      <w:r w:rsidR="00B75665" w:rsidRPr="006B6552">
        <w:t xml:space="preserve">he DGVs are expressed in terms of the active </w:t>
      </w:r>
      <w:r w:rsidR="00B75665" w:rsidRPr="0083326B">
        <w:t>ingredient</w:t>
      </w:r>
      <w:r>
        <w:t xml:space="preserve"> and relate to fipronil only—not its breakdown products or</w:t>
      </w:r>
      <w:r w:rsidR="00B75665" w:rsidRPr="0083326B">
        <w:t xml:space="preserve"> commercial </w:t>
      </w:r>
      <w:r w:rsidR="00B75665" w:rsidRPr="00B73F30">
        <w:t xml:space="preserve">formulations. The </w:t>
      </w:r>
      <w:r w:rsidR="00C56192">
        <w:t xml:space="preserve">fipronil </w:t>
      </w:r>
      <w:r w:rsidR="00B75665" w:rsidRPr="00B73F30">
        <w:t>DGVs for 99</w:t>
      </w:r>
      <w:r w:rsidR="007B0491" w:rsidRPr="00B73F30">
        <w:t>%</w:t>
      </w:r>
      <w:r w:rsidR="00B75665" w:rsidRPr="00B73F30">
        <w:t>, 95</w:t>
      </w:r>
      <w:r w:rsidR="007B0491" w:rsidRPr="00B73F30">
        <w:t>%</w:t>
      </w:r>
      <w:r w:rsidR="00B75665" w:rsidRPr="00B73F30">
        <w:t>, 90</w:t>
      </w:r>
      <w:r w:rsidR="007B0491" w:rsidRPr="00B73F30">
        <w:t>%</w:t>
      </w:r>
      <w:r w:rsidR="00B75665" w:rsidRPr="00B73F30">
        <w:t xml:space="preserve"> and 80% spe</w:t>
      </w:r>
      <w:r w:rsidR="00B73F30" w:rsidRPr="00B73F30">
        <w:t>cies protection are 0.</w:t>
      </w:r>
      <w:r w:rsidR="00407FA9" w:rsidRPr="00B73F30">
        <w:t>00</w:t>
      </w:r>
      <w:r w:rsidR="00407FA9">
        <w:t>3</w:t>
      </w:r>
      <w:r w:rsidR="00407FA9" w:rsidRPr="00B73F30">
        <w:t> </w:t>
      </w:r>
      <w:r w:rsidR="00B75665" w:rsidRPr="00B73F30">
        <w:t>µg/L, 0.01 µg/L, 0.0</w:t>
      </w:r>
      <w:r w:rsidR="00743ACD">
        <w:t>2</w:t>
      </w:r>
      <w:r w:rsidR="00B75665" w:rsidRPr="00B73F30">
        <w:t xml:space="preserve"> µg/L and </w:t>
      </w:r>
      <w:r w:rsidR="00CC3090" w:rsidRPr="00B73F30">
        <w:t>0</w:t>
      </w:r>
      <w:r w:rsidR="00B75665" w:rsidRPr="00B73F30">
        <w:t>.04 µg</w:t>
      </w:r>
      <w:r w:rsidR="00B75665" w:rsidRPr="0083326B">
        <w:t>/L, respectively. The 95%</w:t>
      </w:r>
      <w:r w:rsidR="007B0491">
        <w:t xml:space="preserve"> </w:t>
      </w:r>
      <w:r w:rsidR="00B75665" w:rsidRPr="0083326B">
        <w:t>species protection</w:t>
      </w:r>
      <w:r w:rsidR="00E36985">
        <w:t xml:space="preserve"> DGV</w:t>
      </w:r>
      <w:r w:rsidR="00B90A6A">
        <w:t xml:space="preserve"> </w:t>
      </w:r>
      <w:r w:rsidR="00B75665">
        <w:t>of 0.01</w:t>
      </w:r>
      <w:r w:rsidR="00B75665" w:rsidRPr="0083326B">
        <w:t xml:space="preserve"> µg/L is recommended for </w:t>
      </w:r>
      <w:r w:rsidR="00E36985">
        <w:t>application to</w:t>
      </w:r>
      <w:r w:rsidR="00B75665" w:rsidRPr="0083326B">
        <w:t xml:space="preserve"> slightly</w:t>
      </w:r>
      <w:r w:rsidR="009E04A5">
        <w:t>-</w:t>
      </w:r>
      <w:r w:rsidR="00B75665" w:rsidRPr="0083326B">
        <w:t>to</w:t>
      </w:r>
      <w:r w:rsidR="009E04A5">
        <w:t>-</w:t>
      </w:r>
      <w:r w:rsidR="00B75665" w:rsidRPr="0083326B">
        <w:t>moderately disturbed ecosystems.</w:t>
      </w:r>
      <w:r w:rsidR="00B75665">
        <w:t xml:space="preserve"> </w:t>
      </w:r>
    </w:p>
    <w:p w14:paraId="07F28B0A" w14:textId="77777777" w:rsidR="006D5D93" w:rsidRDefault="006D5D93" w:rsidP="007C4E2A"/>
    <w:p w14:paraId="7AA9AE84" w14:textId="77777777" w:rsidR="00660EA7" w:rsidRDefault="00660EA7" w:rsidP="007C4E2A">
      <w:pPr>
        <w:sectPr w:rsidR="00660EA7" w:rsidSect="00614501">
          <w:pgSz w:w="11907" w:h="16840" w:code="9"/>
          <w:pgMar w:top="1418" w:right="1418" w:bottom="1418" w:left="1418" w:header="567" w:footer="284" w:gutter="0"/>
          <w:pgNumType w:fmt="lowerRoman" w:start="2"/>
          <w:cols w:space="708"/>
          <w:docGrid w:linePitch="299"/>
        </w:sectPr>
      </w:pPr>
    </w:p>
    <w:p w14:paraId="2A51EE03" w14:textId="77777777" w:rsidR="008F7426" w:rsidRPr="007C4E2A" w:rsidRDefault="008F7426" w:rsidP="007C4E2A">
      <w:pPr>
        <w:pStyle w:val="Heading2"/>
      </w:pPr>
      <w:bookmarkStart w:id="4" w:name="_Toc46327087"/>
      <w:bookmarkStart w:id="5" w:name="_Toc205549913"/>
      <w:r w:rsidRPr="007C4E2A">
        <w:lastRenderedPageBreak/>
        <w:t>Introduction</w:t>
      </w:r>
      <w:bookmarkEnd w:id="4"/>
      <w:bookmarkEnd w:id="5"/>
    </w:p>
    <w:p w14:paraId="326325E5" w14:textId="5D7CDCFB" w:rsidR="00B75665" w:rsidRDefault="00B75665" w:rsidP="007C4E2A">
      <w:r>
        <w:t>Fipronil</w:t>
      </w:r>
      <w:r w:rsidRPr="00F22F20">
        <w:t xml:space="preserve"> </w:t>
      </w:r>
      <w:r w:rsidR="00E71375">
        <w:t xml:space="preserve">(CAS No. 120068-37-3) </w:t>
      </w:r>
      <w:r>
        <w:t xml:space="preserve">is a </w:t>
      </w:r>
      <w:proofErr w:type="spellStart"/>
      <w:r w:rsidR="00D7679E">
        <w:t>phenylpyrazole</w:t>
      </w:r>
      <w:proofErr w:type="spellEnd"/>
      <w:r w:rsidR="00D7679E">
        <w:t xml:space="preserve"> </w:t>
      </w:r>
      <w:r>
        <w:t xml:space="preserve">insecticide </w:t>
      </w:r>
      <w:r w:rsidRPr="00F22F20">
        <w:t>(</w:t>
      </w:r>
      <w:r w:rsidRPr="00F24E96">
        <w:rPr>
          <w:rFonts w:cs="Calibri"/>
        </w:rPr>
        <w:t>C</w:t>
      </w:r>
      <w:r w:rsidRPr="00F24E96">
        <w:rPr>
          <w:rFonts w:cs="Calibri"/>
          <w:vertAlign w:val="subscript"/>
        </w:rPr>
        <w:t>1</w:t>
      </w:r>
      <w:r>
        <w:rPr>
          <w:rFonts w:cs="Calibri"/>
          <w:vertAlign w:val="subscript"/>
        </w:rPr>
        <w:t>2</w:t>
      </w:r>
      <w:r w:rsidRPr="00F24E96">
        <w:rPr>
          <w:rFonts w:cs="Calibri"/>
        </w:rPr>
        <w:t>H</w:t>
      </w:r>
      <w:r>
        <w:rPr>
          <w:rFonts w:cs="Calibri"/>
          <w:vertAlign w:val="subscript"/>
        </w:rPr>
        <w:t>4</w:t>
      </w:r>
      <w:r>
        <w:rPr>
          <w:rFonts w:cs="Calibri"/>
        </w:rPr>
        <w:t>Cl</w:t>
      </w:r>
      <w:r>
        <w:rPr>
          <w:rFonts w:cs="Calibri"/>
          <w:vertAlign w:val="subscript"/>
        </w:rPr>
        <w:t>2</w:t>
      </w:r>
      <w:r>
        <w:rPr>
          <w:rFonts w:cs="Calibri"/>
        </w:rPr>
        <w:t>F</w:t>
      </w:r>
      <w:r w:rsidRPr="005462BB">
        <w:rPr>
          <w:rFonts w:cs="Calibri"/>
          <w:vertAlign w:val="subscript"/>
        </w:rPr>
        <w:t>6</w:t>
      </w:r>
      <w:r>
        <w:rPr>
          <w:rFonts w:cs="Calibri"/>
        </w:rPr>
        <w:t>N</w:t>
      </w:r>
      <w:r w:rsidRPr="005462BB">
        <w:rPr>
          <w:rFonts w:cs="Calibri"/>
          <w:vertAlign w:val="subscript"/>
        </w:rPr>
        <w:t>4</w:t>
      </w:r>
      <w:r>
        <w:rPr>
          <w:rFonts w:cs="Calibri"/>
        </w:rPr>
        <w:t>OS</w:t>
      </w:r>
      <w:r w:rsidR="001E054C">
        <w:t>;</w:t>
      </w:r>
      <w:r w:rsidRPr="00F24E96">
        <w:t xml:space="preserve"> </w:t>
      </w:r>
      <w:r w:rsidR="00996C07">
        <w:fldChar w:fldCharType="begin"/>
      </w:r>
      <w:r w:rsidR="00996C07">
        <w:instrText xml:space="preserve"> REF _Ref199343195 \h </w:instrText>
      </w:r>
      <w:r w:rsidR="00996C07">
        <w:fldChar w:fldCharType="separate"/>
      </w:r>
      <w:r w:rsidR="00BA1209">
        <w:t>Figure </w:t>
      </w:r>
      <w:r w:rsidR="00BA1209">
        <w:rPr>
          <w:noProof/>
        </w:rPr>
        <w:t>1</w:t>
      </w:r>
      <w:r w:rsidR="00996C07">
        <w:fldChar w:fldCharType="end"/>
      </w:r>
      <w:r w:rsidRPr="00F24E96">
        <w:t>)</w:t>
      </w:r>
      <w:r w:rsidR="00024C6F">
        <w:t>.</w:t>
      </w:r>
      <w:r w:rsidRPr="00F24E96">
        <w:t xml:space="preserve"> It is the active ingredient of a variety of commercial </w:t>
      </w:r>
      <w:r>
        <w:t>insecticide</w:t>
      </w:r>
      <w:r w:rsidR="00633E01">
        <w:t>s</w:t>
      </w:r>
      <w:r w:rsidR="002138BD">
        <w:t xml:space="preserve">. </w:t>
      </w:r>
      <w:r w:rsidRPr="00F24E96">
        <w:t>Physico</w:t>
      </w:r>
      <w:r w:rsidR="00801603">
        <w:t>-</w:t>
      </w:r>
      <w:r w:rsidRPr="00F24E96">
        <w:t xml:space="preserve">chemical properties of </w:t>
      </w:r>
      <w:r>
        <w:t>fipronil</w:t>
      </w:r>
      <w:r w:rsidRPr="00F24E96">
        <w:t xml:space="preserve"> that may affect its environmental fate and tox</w:t>
      </w:r>
      <w:r>
        <w:t xml:space="preserve">icity are in </w:t>
      </w:r>
      <w:r w:rsidR="00BA4822">
        <w:fldChar w:fldCharType="begin"/>
      </w:r>
      <w:r w:rsidR="00BA4822">
        <w:instrText xml:space="preserve"> REF _Ref129766344 \h </w:instrText>
      </w:r>
      <w:r w:rsidR="00BA4822">
        <w:fldChar w:fldCharType="separate"/>
      </w:r>
      <w:r w:rsidR="00BA1209">
        <w:t>Table </w:t>
      </w:r>
      <w:r w:rsidR="00BA1209">
        <w:rPr>
          <w:noProof/>
        </w:rPr>
        <w:t>1</w:t>
      </w:r>
      <w:r w:rsidR="00BA4822">
        <w:fldChar w:fldCharType="end"/>
      </w:r>
      <w:r>
        <w:t>.</w:t>
      </w:r>
    </w:p>
    <w:p w14:paraId="10162790" w14:textId="4FC351AC" w:rsidR="009B6511" w:rsidRPr="001A3FFE" w:rsidRDefault="009B6511" w:rsidP="009B6511">
      <w:pPr>
        <w:spacing w:after="120"/>
      </w:pPr>
      <w:r>
        <w:rPr>
          <w:noProof/>
          <w:lang w:eastAsia="en-AU"/>
        </w:rPr>
        <w:drawing>
          <wp:inline distT="0" distB="0" distL="0" distR="0" wp14:anchorId="132100E3" wp14:editId="72BEDFFE">
            <wp:extent cx="2164715" cy="1118109"/>
            <wp:effectExtent l="0" t="0" r="6985" b="6350"/>
            <wp:docPr id="10" name="Picture 10" descr="Diagram displays the chemical structure of fipron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displays the chemical structure of fipronil."/>
                    <pic:cNvPicPr/>
                  </pic:nvPicPr>
                  <pic:blipFill rotWithShape="1">
                    <a:blip r:embed="rId24">
                      <a:extLst>
                        <a:ext uri="{28A0092B-C50C-407E-A947-70E740481C1C}">
                          <a14:useLocalDpi xmlns:a14="http://schemas.microsoft.com/office/drawing/2010/main" val="0"/>
                        </a:ext>
                      </a:extLst>
                    </a:blip>
                    <a:srcRect l="3830" t="8055" r="2428" b="4172"/>
                    <a:stretch>
                      <a:fillRect/>
                    </a:stretch>
                  </pic:blipFill>
                  <pic:spPr bwMode="auto">
                    <a:xfrm>
                      <a:off x="0" y="0"/>
                      <a:ext cx="2177665" cy="1124798"/>
                    </a:xfrm>
                    <a:prstGeom prst="rect">
                      <a:avLst/>
                    </a:prstGeom>
                    <a:ln>
                      <a:noFill/>
                    </a:ln>
                    <a:extLst>
                      <a:ext uri="{53640926-AAD7-44D8-BBD7-CCE9431645EC}">
                        <a14:shadowObscured xmlns:a14="http://schemas.microsoft.com/office/drawing/2010/main"/>
                      </a:ext>
                    </a:extLst>
                  </pic:spPr>
                </pic:pic>
              </a:graphicData>
            </a:graphic>
          </wp:inline>
        </w:drawing>
      </w:r>
    </w:p>
    <w:p w14:paraId="01BC5355" w14:textId="0122FDED" w:rsidR="008C1D30" w:rsidRPr="007C4E2A" w:rsidRDefault="00C314E0" w:rsidP="00C314E0">
      <w:pPr>
        <w:pStyle w:val="Caption"/>
      </w:pPr>
      <w:bookmarkStart w:id="6" w:name="_Ref199343195"/>
      <w:bookmarkStart w:id="7" w:name="_Toc205549927"/>
      <w:r>
        <w:t>Figure </w:t>
      </w:r>
      <w:r w:rsidR="00D14480">
        <w:fldChar w:fldCharType="begin"/>
      </w:r>
      <w:r w:rsidR="00D14480">
        <w:instrText xml:space="preserve"> SEQ Figure \* ARABIC </w:instrText>
      </w:r>
      <w:r w:rsidR="00D14480">
        <w:fldChar w:fldCharType="separate"/>
      </w:r>
      <w:r w:rsidR="00BA1209">
        <w:rPr>
          <w:noProof/>
        </w:rPr>
        <w:t>1</w:t>
      </w:r>
      <w:r w:rsidR="00D14480">
        <w:rPr>
          <w:noProof/>
        </w:rPr>
        <w:fldChar w:fldCharType="end"/>
      </w:r>
      <w:bookmarkEnd w:id="6"/>
      <w:r w:rsidR="008C1D30" w:rsidRPr="007C4E2A">
        <w:t xml:space="preserve"> Structure of fipronil</w:t>
      </w:r>
      <w:bookmarkEnd w:id="7"/>
    </w:p>
    <w:p w14:paraId="1397E860" w14:textId="5DB49BE2" w:rsidR="008F7426" w:rsidRPr="00941E22" w:rsidRDefault="00C314E0" w:rsidP="00C314E0">
      <w:pPr>
        <w:pStyle w:val="Caption"/>
      </w:pPr>
      <w:bookmarkStart w:id="8" w:name="_Ref129766344"/>
      <w:bookmarkStart w:id="9" w:name="_Toc205549929"/>
      <w:r>
        <w:t>Table </w:t>
      </w:r>
      <w:r w:rsidR="00D25F7F">
        <w:fldChar w:fldCharType="begin"/>
      </w:r>
      <w:r w:rsidR="00D25F7F">
        <w:instrText xml:space="preserve"> SEQ Table \* ARABIC </w:instrText>
      </w:r>
      <w:r w:rsidR="00D25F7F">
        <w:fldChar w:fldCharType="separate"/>
      </w:r>
      <w:r w:rsidR="00BA1209">
        <w:rPr>
          <w:noProof/>
        </w:rPr>
        <w:t>1</w:t>
      </w:r>
      <w:r w:rsidR="00D25F7F">
        <w:rPr>
          <w:noProof/>
        </w:rPr>
        <w:fldChar w:fldCharType="end"/>
      </w:r>
      <w:bookmarkEnd w:id="8"/>
      <w:r w:rsidR="008C1D30">
        <w:t xml:space="preserve"> </w:t>
      </w:r>
      <w:r w:rsidR="008C1D30" w:rsidRPr="00AA6DBC">
        <w:t>Summary</w:t>
      </w:r>
      <w:r w:rsidR="00801603">
        <w:t>,</w:t>
      </w:r>
      <w:r w:rsidR="008C1D30" w:rsidRPr="00AA6DBC">
        <w:t xml:space="preserve"> physico</w:t>
      </w:r>
      <w:r w:rsidR="00132064">
        <w:t>-</w:t>
      </w:r>
      <w:r w:rsidR="008C1D30" w:rsidRPr="00AA6DBC">
        <w:t>chemical properties of fipronil</w:t>
      </w:r>
      <w:bookmarkEnd w:id="9"/>
    </w:p>
    <w:tbl>
      <w:tblPr>
        <w:tblW w:w="5000" w:type="pct"/>
        <w:tblBorders>
          <w:top w:val="single" w:sz="4" w:space="0" w:color="auto"/>
          <w:bottom w:val="single" w:sz="4" w:space="0" w:color="auto"/>
          <w:insideH w:val="single" w:sz="4" w:space="0" w:color="auto"/>
        </w:tblBorders>
        <w:tblLook w:val="04A0" w:firstRow="1" w:lastRow="0" w:firstColumn="1" w:lastColumn="0" w:noHBand="0" w:noVBand="1"/>
        <w:tblCaption w:val="Summary, physico-chemical properties of fipronil"/>
        <w:tblDescription w:val="Table shows the physico-chemical properties (molecular weight, aqueous solubility, octanol-water partition coefficient, organic carbon water partition coefficient, bioconcentration factor, half-life in water, and half-life in soil) of fipronil against their corresponding values."/>
      </w:tblPr>
      <w:tblGrid>
        <w:gridCol w:w="4396"/>
        <w:gridCol w:w="4675"/>
      </w:tblGrid>
      <w:tr w:rsidR="008F7426" w:rsidRPr="00EB44BB" w14:paraId="55BEDA7E" w14:textId="77777777" w:rsidTr="00055895">
        <w:tc>
          <w:tcPr>
            <w:tcW w:w="2423" w:type="pct"/>
            <w:tcBorders>
              <w:top w:val="single" w:sz="12" w:space="0" w:color="auto"/>
              <w:bottom w:val="single" w:sz="12" w:space="0" w:color="auto"/>
            </w:tcBorders>
          </w:tcPr>
          <w:p w14:paraId="45BA65EB" w14:textId="6F5428C0" w:rsidR="008F7426" w:rsidRPr="00EB44BB" w:rsidRDefault="008F7426" w:rsidP="002305E8">
            <w:pPr>
              <w:pStyle w:val="TableHeading"/>
            </w:pPr>
            <w:r w:rsidRPr="00EB44BB">
              <w:t>Physico</w:t>
            </w:r>
            <w:r w:rsidR="00132064">
              <w:t>-</w:t>
            </w:r>
            <w:r w:rsidRPr="00EB44BB">
              <w:t>chemical property</w:t>
            </w:r>
          </w:p>
        </w:tc>
        <w:tc>
          <w:tcPr>
            <w:tcW w:w="2577" w:type="pct"/>
            <w:tcBorders>
              <w:top w:val="single" w:sz="12" w:space="0" w:color="auto"/>
              <w:bottom w:val="single" w:sz="12" w:space="0" w:color="auto"/>
            </w:tcBorders>
          </w:tcPr>
          <w:p w14:paraId="1AE4C74F" w14:textId="77777777" w:rsidR="008F7426" w:rsidRPr="0050114E" w:rsidRDefault="008F7426" w:rsidP="002305E8">
            <w:pPr>
              <w:pStyle w:val="TableHeading"/>
            </w:pPr>
            <w:r w:rsidRPr="0050114E">
              <w:t>Value</w:t>
            </w:r>
          </w:p>
        </w:tc>
      </w:tr>
      <w:tr w:rsidR="008F7426" w:rsidRPr="00EB44BB" w14:paraId="53B3CBE0" w14:textId="77777777" w:rsidTr="00055895">
        <w:tc>
          <w:tcPr>
            <w:tcW w:w="2423" w:type="pct"/>
            <w:tcBorders>
              <w:top w:val="single" w:sz="12" w:space="0" w:color="auto"/>
            </w:tcBorders>
            <w:vAlign w:val="center"/>
          </w:tcPr>
          <w:p w14:paraId="15D107D7" w14:textId="77777777" w:rsidR="008F7426" w:rsidRPr="00EB44BB" w:rsidRDefault="008F7426" w:rsidP="002305E8">
            <w:pPr>
              <w:pStyle w:val="TableText"/>
            </w:pPr>
            <w:r w:rsidRPr="00EB44BB">
              <w:t>Molecular weight</w:t>
            </w:r>
          </w:p>
        </w:tc>
        <w:tc>
          <w:tcPr>
            <w:tcW w:w="2577" w:type="pct"/>
            <w:tcBorders>
              <w:top w:val="single" w:sz="12" w:space="0" w:color="auto"/>
            </w:tcBorders>
            <w:vAlign w:val="center"/>
          </w:tcPr>
          <w:p w14:paraId="0F268472" w14:textId="775DFC63" w:rsidR="008F7426" w:rsidRPr="00EB44BB" w:rsidRDefault="00B75665" w:rsidP="002305E8">
            <w:pPr>
              <w:pStyle w:val="TableText"/>
              <w:rPr>
                <w:highlight w:val="yellow"/>
              </w:rPr>
            </w:pPr>
            <w:r w:rsidRPr="00EB44BB">
              <w:t>437.2</w:t>
            </w:r>
            <w:r w:rsidR="004D7031">
              <w:t> </w:t>
            </w:r>
            <w:r w:rsidRPr="00EB44BB">
              <w:t>amu</w:t>
            </w:r>
            <w:r w:rsidR="00534184" w:rsidRPr="005F2B8D">
              <w:t xml:space="preserve"> </w:t>
            </w:r>
            <w:r w:rsidR="00534184" w:rsidRPr="005F2B8D">
              <w:rPr>
                <w:rStyle w:val="Strong"/>
                <w:vertAlign w:val="superscript"/>
              </w:rPr>
              <w:t>a</w:t>
            </w:r>
          </w:p>
        </w:tc>
      </w:tr>
      <w:tr w:rsidR="008F7426" w:rsidRPr="00EB44BB" w14:paraId="57CCB49B" w14:textId="77777777" w:rsidTr="00055895">
        <w:tc>
          <w:tcPr>
            <w:tcW w:w="2423" w:type="pct"/>
            <w:vAlign w:val="center"/>
          </w:tcPr>
          <w:p w14:paraId="33A12EA3" w14:textId="77777777" w:rsidR="008F7426" w:rsidRPr="00EB44BB" w:rsidRDefault="008F7426" w:rsidP="002305E8">
            <w:pPr>
              <w:pStyle w:val="TableText"/>
            </w:pPr>
            <w:r w:rsidRPr="00EB44BB">
              <w:t>Aqueous solubility</w:t>
            </w:r>
          </w:p>
        </w:tc>
        <w:tc>
          <w:tcPr>
            <w:tcW w:w="2577" w:type="pct"/>
            <w:vAlign w:val="center"/>
          </w:tcPr>
          <w:p w14:paraId="17C90912" w14:textId="6E94032F" w:rsidR="00534184" w:rsidRDefault="00B75665" w:rsidP="002305E8">
            <w:pPr>
              <w:pStyle w:val="TableText"/>
              <w:rPr>
                <w:vertAlign w:val="superscript"/>
              </w:rPr>
            </w:pPr>
            <w:r w:rsidRPr="00EB44BB">
              <w:t>1.9</w:t>
            </w:r>
            <w:r w:rsidR="007A6027">
              <w:t> </w:t>
            </w:r>
            <w:r w:rsidRPr="00EB44BB">
              <w:t xml:space="preserve">mg/L </w:t>
            </w:r>
            <w:r w:rsidR="00BC3BAF">
              <w:t>at</w:t>
            </w:r>
            <w:r w:rsidR="00BC3BAF" w:rsidRPr="00EB44BB">
              <w:t xml:space="preserve"> </w:t>
            </w:r>
            <w:r w:rsidRPr="00EB44BB">
              <w:t>pH</w:t>
            </w:r>
            <w:r w:rsidR="007A6027">
              <w:t> </w:t>
            </w:r>
            <w:r w:rsidRPr="00EB44BB">
              <w:t>5 and 20</w:t>
            </w:r>
            <w:r w:rsidR="004D7031">
              <w:t>°</w:t>
            </w:r>
            <w:r w:rsidRPr="00EB44BB">
              <w:t>C/25</w:t>
            </w:r>
            <w:r w:rsidR="004D7031">
              <w:t>°</w:t>
            </w:r>
            <w:r w:rsidRPr="00EB44BB">
              <w:t>C</w:t>
            </w:r>
            <w:r w:rsidR="00534184">
              <w:t xml:space="preserve"> </w:t>
            </w:r>
            <w:r w:rsidR="00534184" w:rsidRPr="005F2B8D">
              <w:rPr>
                <w:rStyle w:val="Strong"/>
                <w:vertAlign w:val="superscript"/>
              </w:rPr>
              <w:t>a, c</w:t>
            </w:r>
          </w:p>
          <w:p w14:paraId="07D38F4D" w14:textId="0DE710F4" w:rsidR="00534184" w:rsidRDefault="00B75665" w:rsidP="002305E8">
            <w:pPr>
              <w:pStyle w:val="TableText"/>
              <w:rPr>
                <w:vertAlign w:val="superscript"/>
              </w:rPr>
            </w:pPr>
            <w:r w:rsidRPr="00EB44BB">
              <w:t>2.4</w:t>
            </w:r>
            <w:r w:rsidR="007A6027">
              <w:t> </w:t>
            </w:r>
            <w:r w:rsidRPr="00EB44BB">
              <w:t xml:space="preserve">mg/L </w:t>
            </w:r>
            <w:r w:rsidR="00BC3BAF">
              <w:t>at</w:t>
            </w:r>
            <w:r w:rsidR="00BC3BAF" w:rsidRPr="00EB44BB">
              <w:t xml:space="preserve"> </w:t>
            </w:r>
            <w:r w:rsidRPr="00EB44BB">
              <w:t>pH</w:t>
            </w:r>
            <w:r w:rsidR="007A6027">
              <w:t> </w:t>
            </w:r>
            <w:r w:rsidRPr="00EB44BB">
              <w:t>9 and 20</w:t>
            </w:r>
            <w:r w:rsidR="004D7031">
              <w:t>°</w:t>
            </w:r>
            <w:r w:rsidRPr="00EB44BB">
              <w:t>C/25</w:t>
            </w:r>
            <w:r w:rsidR="004D7031">
              <w:t>°</w:t>
            </w:r>
            <w:r w:rsidRPr="00EB44BB">
              <w:t>C</w:t>
            </w:r>
            <w:r w:rsidR="00534184">
              <w:t xml:space="preserve"> </w:t>
            </w:r>
            <w:r w:rsidR="00534184" w:rsidRPr="005F2B8D">
              <w:rPr>
                <w:rStyle w:val="Strong"/>
                <w:vertAlign w:val="superscript"/>
              </w:rPr>
              <w:t>a, c</w:t>
            </w:r>
          </w:p>
          <w:p w14:paraId="4986EA06" w14:textId="6CCEBB4C" w:rsidR="008F7426" w:rsidRPr="00EB44BB" w:rsidRDefault="00B75665" w:rsidP="002305E8">
            <w:pPr>
              <w:pStyle w:val="TableText"/>
              <w:rPr>
                <w:highlight w:val="yellow"/>
              </w:rPr>
            </w:pPr>
            <w:r w:rsidRPr="00EB44BB">
              <w:t>3.78</w:t>
            </w:r>
            <w:r w:rsidR="007A6027">
              <w:t> </w:t>
            </w:r>
            <w:r w:rsidRPr="00EB44BB">
              <w:t xml:space="preserve">mg/L </w:t>
            </w:r>
            <w:r w:rsidR="00BC3BAF">
              <w:t>at</w:t>
            </w:r>
            <w:r w:rsidR="00BC3BAF" w:rsidRPr="00EB44BB">
              <w:t xml:space="preserve"> </w:t>
            </w:r>
            <w:r w:rsidRPr="00EB44BB">
              <w:t>20</w:t>
            </w:r>
            <w:r w:rsidR="007A6027">
              <w:t>°</w:t>
            </w:r>
            <w:r w:rsidRPr="00EB44BB">
              <w:t>C</w:t>
            </w:r>
            <w:r w:rsidR="00534184">
              <w:t xml:space="preserve"> </w:t>
            </w:r>
            <w:r w:rsidR="00534184" w:rsidRPr="005F2B8D">
              <w:rPr>
                <w:rStyle w:val="Strong"/>
                <w:vertAlign w:val="superscript"/>
              </w:rPr>
              <w:t>b</w:t>
            </w:r>
          </w:p>
        </w:tc>
      </w:tr>
      <w:tr w:rsidR="008F7426" w:rsidRPr="00EB44BB" w14:paraId="5C83D967" w14:textId="77777777" w:rsidTr="00055895">
        <w:tc>
          <w:tcPr>
            <w:tcW w:w="2423" w:type="pct"/>
            <w:vAlign w:val="center"/>
          </w:tcPr>
          <w:p w14:paraId="633982A3" w14:textId="72954FA4" w:rsidR="008F7426" w:rsidRPr="00EB44BB" w:rsidRDefault="008F7426" w:rsidP="002305E8">
            <w:pPr>
              <w:pStyle w:val="TableText"/>
            </w:pPr>
            <w:r w:rsidRPr="00EB44BB">
              <w:t>Logarithm of the octanol-water partition coefficient (log</w:t>
            </w:r>
            <w:r w:rsidR="007A6027">
              <w:t> </w:t>
            </w:r>
            <w:r w:rsidRPr="00EB44BB">
              <w:t>K</w:t>
            </w:r>
            <w:r w:rsidRPr="00EB44BB">
              <w:rPr>
                <w:vertAlign w:val="subscript"/>
              </w:rPr>
              <w:t>ow</w:t>
            </w:r>
            <w:r w:rsidRPr="00EB44BB">
              <w:t>)</w:t>
            </w:r>
          </w:p>
        </w:tc>
        <w:tc>
          <w:tcPr>
            <w:tcW w:w="2577" w:type="pct"/>
            <w:vAlign w:val="center"/>
          </w:tcPr>
          <w:p w14:paraId="693E6A57" w14:textId="77777777" w:rsidR="00B840D1" w:rsidRDefault="00B75665" w:rsidP="002305E8">
            <w:pPr>
              <w:pStyle w:val="TableText"/>
              <w:rPr>
                <w:rStyle w:val="Strong"/>
                <w:vertAlign w:val="superscript"/>
              </w:rPr>
            </w:pPr>
            <w:r w:rsidRPr="00EB44BB">
              <w:t>4.0 (shake flask method)</w:t>
            </w:r>
            <w:r w:rsidR="00534184">
              <w:t xml:space="preserve"> </w:t>
            </w:r>
            <w:r w:rsidR="00B840D1">
              <w:t>at</w:t>
            </w:r>
            <w:r w:rsidR="00B840D1" w:rsidRPr="00EB44BB">
              <w:t xml:space="preserve"> pH</w:t>
            </w:r>
            <w:r w:rsidR="00B840D1">
              <w:t> </w:t>
            </w:r>
            <w:r w:rsidR="00B840D1" w:rsidRPr="00EB44BB">
              <w:t>7 and 20</w:t>
            </w:r>
            <w:r w:rsidR="00B840D1">
              <w:t>°</w:t>
            </w:r>
            <w:r w:rsidR="00B840D1" w:rsidRPr="00EB44BB">
              <w:t>C</w:t>
            </w:r>
            <w:r w:rsidR="00B840D1">
              <w:t xml:space="preserve"> </w:t>
            </w:r>
            <w:r w:rsidR="00534184" w:rsidRPr="005F2B8D">
              <w:rPr>
                <w:rStyle w:val="Strong"/>
                <w:vertAlign w:val="superscript"/>
              </w:rPr>
              <w:t>a</w:t>
            </w:r>
          </w:p>
          <w:p w14:paraId="3055895F" w14:textId="65BB9B37" w:rsidR="008F7426" w:rsidRPr="00EB44BB" w:rsidRDefault="00B75665" w:rsidP="002305E8">
            <w:pPr>
              <w:pStyle w:val="TableText"/>
              <w:rPr>
                <w:vertAlign w:val="superscript"/>
              </w:rPr>
            </w:pPr>
            <w:r w:rsidRPr="00EB44BB">
              <w:t xml:space="preserve">3.75 </w:t>
            </w:r>
            <w:r w:rsidR="00BC3BAF">
              <w:t>at</w:t>
            </w:r>
            <w:r w:rsidR="00BC3BAF" w:rsidRPr="00EB44BB">
              <w:t xml:space="preserve"> </w:t>
            </w:r>
            <w:r w:rsidRPr="00EB44BB">
              <w:t>pH</w:t>
            </w:r>
            <w:r w:rsidR="007A6027">
              <w:t> </w:t>
            </w:r>
            <w:r w:rsidRPr="00EB44BB">
              <w:t>7 and 20</w:t>
            </w:r>
            <w:r w:rsidR="007A6027">
              <w:t>°</w:t>
            </w:r>
            <w:r w:rsidRPr="00EB44BB">
              <w:t>C</w:t>
            </w:r>
            <w:r w:rsidR="00534184">
              <w:t xml:space="preserve"> </w:t>
            </w:r>
            <w:r w:rsidR="00534184" w:rsidRPr="005F2B8D">
              <w:rPr>
                <w:rStyle w:val="Strong"/>
                <w:vertAlign w:val="superscript"/>
              </w:rPr>
              <w:t>b</w:t>
            </w:r>
          </w:p>
        </w:tc>
      </w:tr>
      <w:tr w:rsidR="008F7426" w:rsidRPr="00EB44BB" w14:paraId="558CAF16" w14:textId="77777777" w:rsidTr="00055895">
        <w:tc>
          <w:tcPr>
            <w:tcW w:w="2423" w:type="pct"/>
            <w:vAlign w:val="center"/>
          </w:tcPr>
          <w:p w14:paraId="493820BB" w14:textId="2E5F61EC" w:rsidR="008F7426" w:rsidRPr="00EB44BB" w:rsidRDefault="008F7426" w:rsidP="002305E8">
            <w:pPr>
              <w:pStyle w:val="TableText"/>
            </w:pPr>
            <w:r w:rsidRPr="00EB44BB">
              <w:t>Logarithm of the organic carbon water partition coefficient (log</w:t>
            </w:r>
            <w:r w:rsidR="007A6027">
              <w:t> </w:t>
            </w:r>
            <w:r w:rsidRPr="00EB44BB">
              <w:t>K</w:t>
            </w:r>
            <w:r w:rsidRPr="00EB44BB">
              <w:rPr>
                <w:vertAlign w:val="subscript"/>
              </w:rPr>
              <w:t>oc</w:t>
            </w:r>
            <w:r w:rsidRPr="00EB44BB">
              <w:t>)</w:t>
            </w:r>
          </w:p>
        </w:tc>
        <w:tc>
          <w:tcPr>
            <w:tcW w:w="2577" w:type="pct"/>
            <w:vAlign w:val="center"/>
          </w:tcPr>
          <w:p w14:paraId="094C7762" w14:textId="1CF51EB4" w:rsidR="008F7426" w:rsidRPr="00EB44BB" w:rsidRDefault="00B75665" w:rsidP="002305E8">
            <w:pPr>
              <w:pStyle w:val="TableText"/>
              <w:rPr>
                <w:highlight w:val="yellow"/>
              </w:rPr>
            </w:pPr>
            <w:r w:rsidRPr="00EB44BB">
              <w:t xml:space="preserve">2.63 (Speyer 2.2) </w:t>
            </w:r>
            <w:r w:rsidR="007A6027">
              <w:t xml:space="preserve">to </w:t>
            </w:r>
            <w:r w:rsidRPr="00EB44BB">
              <w:t>3.09 (sandy loam)</w:t>
            </w:r>
            <w:r w:rsidR="005F2B8D">
              <w:t xml:space="preserve"> </w:t>
            </w:r>
            <w:r w:rsidR="005F2B8D" w:rsidRPr="005F2B8D">
              <w:rPr>
                <w:rStyle w:val="Strong"/>
                <w:vertAlign w:val="superscript"/>
              </w:rPr>
              <w:t>a</w:t>
            </w:r>
          </w:p>
        </w:tc>
      </w:tr>
      <w:tr w:rsidR="008F7426" w:rsidRPr="00EB44BB" w14:paraId="04931006" w14:textId="77777777" w:rsidTr="00055895">
        <w:tc>
          <w:tcPr>
            <w:tcW w:w="2423" w:type="pct"/>
            <w:tcBorders>
              <w:bottom w:val="single" w:sz="4" w:space="0" w:color="auto"/>
            </w:tcBorders>
            <w:vAlign w:val="center"/>
          </w:tcPr>
          <w:p w14:paraId="1125B995" w14:textId="77777777" w:rsidR="008F7426" w:rsidRPr="00EB44BB" w:rsidRDefault="008F7426" w:rsidP="002305E8">
            <w:pPr>
              <w:pStyle w:val="TableText"/>
            </w:pPr>
            <w:r w:rsidRPr="00EB44BB">
              <w:t>Logarithm of the bioconcentration factor (log BCF)</w:t>
            </w:r>
          </w:p>
        </w:tc>
        <w:tc>
          <w:tcPr>
            <w:tcW w:w="2577" w:type="pct"/>
            <w:tcBorders>
              <w:bottom w:val="single" w:sz="4" w:space="0" w:color="auto"/>
            </w:tcBorders>
            <w:vAlign w:val="center"/>
          </w:tcPr>
          <w:p w14:paraId="6F4D53C1" w14:textId="70A8C8B4" w:rsidR="008F7426" w:rsidRPr="00EB44BB" w:rsidRDefault="00B75665" w:rsidP="002305E8">
            <w:pPr>
              <w:pStyle w:val="TableText"/>
            </w:pPr>
            <w:r w:rsidRPr="00EB44BB">
              <w:t>2.51</w:t>
            </w:r>
            <w:r w:rsidR="005F2B8D">
              <w:t xml:space="preserve"> </w:t>
            </w:r>
            <w:r w:rsidR="005F2B8D" w:rsidRPr="005F2B8D">
              <w:rPr>
                <w:rStyle w:val="Strong"/>
                <w:vertAlign w:val="superscript"/>
              </w:rPr>
              <w:t>b</w:t>
            </w:r>
          </w:p>
        </w:tc>
      </w:tr>
      <w:tr w:rsidR="008F7426" w:rsidRPr="00EB44BB" w14:paraId="1373F6CC" w14:textId="77777777" w:rsidTr="00055895">
        <w:tc>
          <w:tcPr>
            <w:tcW w:w="2423" w:type="pct"/>
            <w:tcBorders>
              <w:bottom w:val="single" w:sz="4" w:space="0" w:color="auto"/>
            </w:tcBorders>
            <w:vAlign w:val="center"/>
          </w:tcPr>
          <w:p w14:paraId="18DA61DE" w14:textId="77777777" w:rsidR="008F7426" w:rsidRPr="00EB44BB" w:rsidRDefault="008F7426" w:rsidP="002305E8">
            <w:pPr>
              <w:pStyle w:val="TableText"/>
            </w:pPr>
            <w:r w:rsidRPr="00EB44BB">
              <w:t>Half-life in water (t</w:t>
            </w:r>
            <w:r w:rsidRPr="00EB44BB">
              <w:rPr>
                <w:vertAlign w:val="subscript"/>
              </w:rPr>
              <w:t>1/2</w:t>
            </w:r>
            <w:r w:rsidRPr="00EB44BB">
              <w:t>)</w:t>
            </w:r>
          </w:p>
        </w:tc>
        <w:tc>
          <w:tcPr>
            <w:tcW w:w="2577" w:type="pct"/>
            <w:tcBorders>
              <w:bottom w:val="single" w:sz="4" w:space="0" w:color="auto"/>
            </w:tcBorders>
            <w:vAlign w:val="center"/>
          </w:tcPr>
          <w:p w14:paraId="7DD39780" w14:textId="16289130" w:rsidR="007A6027" w:rsidRDefault="00B75665" w:rsidP="002305E8">
            <w:pPr>
              <w:pStyle w:val="TableText"/>
            </w:pPr>
            <w:r w:rsidRPr="00EB44BB">
              <w:t>54</w:t>
            </w:r>
            <w:r w:rsidR="007A6027">
              <w:t> </w:t>
            </w:r>
            <w:r w:rsidRPr="00EB44BB">
              <w:t>d</w:t>
            </w:r>
          </w:p>
          <w:p w14:paraId="639DD8F2" w14:textId="0D0F8F54" w:rsidR="007A6027" w:rsidRDefault="00B75665" w:rsidP="002305E8">
            <w:pPr>
              <w:pStyle w:val="TableText"/>
              <w:rPr>
                <w:vertAlign w:val="superscript"/>
              </w:rPr>
            </w:pPr>
            <w:r w:rsidRPr="00EB44BB">
              <w:t xml:space="preserve">Stable </w:t>
            </w:r>
            <w:r w:rsidR="00BC3BAF">
              <w:t>at</w:t>
            </w:r>
            <w:r w:rsidR="00BC3BAF" w:rsidRPr="00EB44BB">
              <w:t xml:space="preserve"> </w:t>
            </w:r>
            <w:r w:rsidRPr="00EB44BB">
              <w:t>pH</w:t>
            </w:r>
            <w:r w:rsidR="007A6027">
              <w:t> </w:t>
            </w:r>
            <w:r w:rsidRPr="00EB44BB">
              <w:t>5–7 and 20</w:t>
            </w:r>
            <w:r w:rsidR="007A6027">
              <w:t>°</w:t>
            </w:r>
            <w:r w:rsidRPr="00EB44BB">
              <w:t>C</w:t>
            </w:r>
            <w:r w:rsidR="00534184">
              <w:t xml:space="preserve"> </w:t>
            </w:r>
            <w:r w:rsidR="00534184" w:rsidRPr="005F2B8D">
              <w:rPr>
                <w:rStyle w:val="Strong"/>
                <w:vertAlign w:val="superscript"/>
              </w:rPr>
              <w:t>b</w:t>
            </w:r>
          </w:p>
          <w:p w14:paraId="690F8526" w14:textId="585BDC76" w:rsidR="008F7426" w:rsidRPr="00EB44BB" w:rsidRDefault="00B75665" w:rsidP="002305E8">
            <w:pPr>
              <w:pStyle w:val="TableText"/>
              <w:rPr>
                <w:vertAlign w:val="superscript"/>
              </w:rPr>
            </w:pPr>
            <w:r w:rsidRPr="00EB44BB">
              <w:t>125</w:t>
            </w:r>
            <w:r w:rsidR="007A6027">
              <w:t> </w:t>
            </w:r>
            <w:r w:rsidRPr="00EB44BB">
              <w:t>h (5.2</w:t>
            </w:r>
            <w:r w:rsidR="007A6027">
              <w:t> </w:t>
            </w:r>
            <w:r w:rsidRPr="00EB44BB">
              <w:t>d)</w:t>
            </w:r>
            <w:r w:rsidR="00534184">
              <w:t xml:space="preserve"> </w:t>
            </w:r>
            <w:r w:rsidR="00534184" w:rsidRPr="005F2B8D">
              <w:rPr>
                <w:rStyle w:val="Strong"/>
                <w:vertAlign w:val="superscript"/>
              </w:rPr>
              <w:t>c</w:t>
            </w:r>
          </w:p>
        </w:tc>
      </w:tr>
      <w:tr w:rsidR="008F7426" w:rsidRPr="00EB44BB" w14:paraId="52D9C996" w14:textId="77777777" w:rsidTr="00055895">
        <w:tc>
          <w:tcPr>
            <w:tcW w:w="2423" w:type="pct"/>
            <w:tcBorders>
              <w:top w:val="single" w:sz="4" w:space="0" w:color="auto"/>
              <w:bottom w:val="single" w:sz="12" w:space="0" w:color="auto"/>
            </w:tcBorders>
            <w:vAlign w:val="center"/>
          </w:tcPr>
          <w:p w14:paraId="62CFAA7A" w14:textId="77777777" w:rsidR="008F7426" w:rsidRPr="00EB44BB" w:rsidRDefault="008F7426" w:rsidP="002305E8">
            <w:pPr>
              <w:pStyle w:val="TableText"/>
            </w:pPr>
            <w:r w:rsidRPr="00EB44BB">
              <w:t>Half-life in soils (t</w:t>
            </w:r>
            <w:r w:rsidRPr="00EB44BB">
              <w:rPr>
                <w:vertAlign w:val="subscript"/>
              </w:rPr>
              <w:t>1/2</w:t>
            </w:r>
            <w:r w:rsidRPr="00EB44BB">
              <w:t>)</w:t>
            </w:r>
          </w:p>
        </w:tc>
        <w:tc>
          <w:tcPr>
            <w:tcW w:w="2577" w:type="pct"/>
            <w:tcBorders>
              <w:top w:val="single" w:sz="4" w:space="0" w:color="auto"/>
              <w:bottom w:val="single" w:sz="12" w:space="0" w:color="auto"/>
            </w:tcBorders>
            <w:vAlign w:val="center"/>
          </w:tcPr>
          <w:p w14:paraId="54B5EBE5" w14:textId="7C1212DE" w:rsidR="00137739" w:rsidRDefault="00137739" w:rsidP="00137739">
            <w:pPr>
              <w:pStyle w:val="TableText"/>
              <w:rPr>
                <w:vertAlign w:val="superscript"/>
              </w:rPr>
            </w:pPr>
            <w:r w:rsidRPr="00EB44BB">
              <w:t>68</w:t>
            </w:r>
            <w:r>
              <w:t> </w:t>
            </w:r>
            <w:r w:rsidRPr="00EB44BB">
              <w:t>d (65–142</w:t>
            </w:r>
            <w:r w:rsidR="00440338">
              <w:t> </w:t>
            </w:r>
            <w:r w:rsidRPr="00EB44BB">
              <w:t>d in field and laboratory (20</w:t>
            </w:r>
            <w:r>
              <w:t>°</w:t>
            </w:r>
            <w:r w:rsidRPr="00EB44BB">
              <w:t>C) respectively)</w:t>
            </w:r>
            <w:r w:rsidR="00372EB0">
              <w:t>)</w:t>
            </w:r>
            <w:r>
              <w:t xml:space="preserve"> </w:t>
            </w:r>
            <w:r w:rsidRPr="005F2B8D">
              <w:rPr>
                <w:rStyle w:val="Strong"/>
                <w:vertAlign w:val="superscript"/>
              </w:rPr>
              <w:t>b</w:t>
            </w:r>
          </w:p>
          <w:p w14:paraId="53CBF744" w14:textId="6DADD6CC" w:rsidR="008F7426" w:rsidRPr="00053BF0" w:rsidRDefault="00137739" w:rsidP="00137739">
            <w:pPr>
              <w:pStyle w:val="TableText"/>
            </w:pPr>
            <w:r w:rsidRPr="00EB44BB">
              <w:t>438</w:t>
            </w:r>
            <w:r>
              <w:t> </w:t>
            </w:r>
            <w:r w:rsidRPr="00EB44BB">
              <w:t>h (18.25</w:t>
            </w:r>
            <w:r>
              <w:t> </w:t>
            </w:r>
            <w:r w:rsidRPr="00EB44BB">
              <w:t>d)</w:t>
            </w:r>
            <w:r>
              <w:t xml:space="preserve"> </w:t>
            </w:r>
            <w:r w:rsidRPr="005F2B8D">
              <w:rPr>
                <w:rStyle w:val="Strong"/>
                <w:vertAlign w:val="superscript"/>
              </w:rPr>
              <w:t>c</w:t>
            </w:r>
          </w:p>
        </w:tc>
      </w:tr>
    </w:tbl>
    <w:p w14:paraId="40A11BC4" w14:textId="19EAA2B4" w:rsidR="002305E8" w:rsidRDefault="002305E8" w:rsidP="002305E8">
      <w:pPr>
        <w:pStyle w:val="FigureTableNoteSource"/>
      </w:pPr>
      <w:r w:rsidRPr="002305E8">
        <w:rPr>
          <w:rStyle w:val="Strong"/>
        </w:rPr>
        <w:t>a</w:t>
      </w:r>
      <w:r w:rsidR="00B75665" w:rsidRPr="008C1D30">
        <w:t xml:space="preserve"> BCPC (2012). </w:t>
      </w:r>
    </w:p>
    <w:p w14:paraId="1214A200" w14:textId="12587B73" w:rsidR="002305E8" w:rsidRDefault="002305E8" w:rsidP="002305E8">
      <w:pPr>
        <w:pStyle w:val="FigureTableNoteSource"/>
      </w:pPr>
      <w:r w:rsidRPr="002305E8">
        <w:rPr>
          <w:rStyle w:val="Strong"/>
        </w:rPr>
        <w:t>b</w:t>
      </w:r>
      <w:r w:rsidR="00B75665" w:rsidRPr="008C1D30">
        <w:t xml:space="preserve"> Pesticide Properties Database (University of Hertfordshire 2013). </w:t>
      </w:r>
    </w:p>
    <w:p w14:paraId="40254C93" w14:textId="242EF7BF" w:rsidR="00B75665" w:rsidRPr="008C1D30" w:rsidRDefault="002305E8" w:rsidP="002305E8">
      <w:pPr>
        <w:pStyle w:val="FigureTableNoteSource"/>
      </w:pPr>
      <w:r w:rsidRPr="002305E8">
        <w:rPr>
          <w:rStyle w:val="Strong"/>
        </w:rPr>
        <w:t>c</w:t>
      </w:r>
      <w:r w:rsidR="00B75665" w:rsidRPr="008C1D30">
        <w:t xml:space="preserve"> Gunasekara et al. 2007.</w:t>
      </w:r>
    </w:p>
    <w:p w14:paraId="14B7432F" w14:textId="52310002" w:rsidR="002B4DA6" w:rsidRDefault="00B75665" w:rsidP="00E8209D">
      <w:r>
        <w:t>Fipronil belongs to the phenylpyrazole group within the pyrazole family of insecticides</w:t>
      </w:r>
      <w:r w:rsidR="003E12A3">
        <w:t>.</w:t>
      </w:r>
      <w:r w:rsidR="002B4DA6" w:rsidRPr="002B4DA6">
        <w:t xml:space="preserve"> </w:t>
      </w:r>
      <w:r w:rsidR="002B4DA6">
        <w:t>Fipronil is one of the most</w:t>
      </w:r>
      <w:r w:rsidR="00BC1CB6">
        <w:t>-</w:t>
      </w:r>
      <w:r w:rsidR="002B4DA6">
        <w:t xml:space="preserve">used insecticides worldwide, alongside </w:t>
      </w:r>
      <w:r w:rsidR="002B4DA6">
        <w:rPr>
          <w:lang w:val="en"/>
        </w:rPr>
        <w:t xml:space="preserve">neonicotinoids such as imidacloprid and clothianidin (Bonmatin et al. 2015). </w:t>
      </w:r>
      <w:r w:rsidR="002B4DA6" w:rsidRPr="0020792D">
        <w:rPr>
          <w:rFonts w:cstheme="minorHAnsi"/>
        </w:rPr>
        <w:t>Fipronil</w:t>
      </w:r>
      <w:r w:rsidR="002B4DA6">
        <w:rPr>
          <w:rFonts w:cstheme="minorHAnsi"/>
        </w:rPr>
        <w:t xml:space="preserve"> is an insecticide that is registered </w:t>
      </w:r>
      <w:r w:rsidR="00BC4089">
        <w:rPr>
          <w:rFonts w:cstheme="minorHAnsi"/>
        </w:rPr>
        <w:t>for application to</w:t>
      </w:r>
      <w:r w:rsidR="002B4DA6">
        <w:rPr>
          <w:rFonts w:cstheme="minorHAnsi"/>
        </w:rPr>
        <w:t xml:space="preserve"> </w:t>
      </w:r>
      <w:r w:rsidR="009248AB">
        <w:rPr>
          <w:rFonts w:cstheme="minorHAnsi"/>
        </w:rPr>
        <w:t xml:space="preserve">numerous </w:t>
      </w:r>
      <w:r w:rsidR="002B4DA6">
        <w:rPr>
          <w:rFonts w:cstheme="minorHAnsi"/>
        </w:rPr>
        <w:t>agricultural crops in</w:t>
      </w:r>
      <w:r w:rsidR="009248AB">
        <w:rPr>
          <w:rFonts w:cstheme="minorHAnsi"/>
        </w:rPr>
        <w:t xml:space="preserve"> </w:t>
      </w:r>
      <w:r w:rsidR="002B4DA6">
        <w:rPr>
          <w:rFonts w:cstheme="minorHAnsi"/>
        </w:rPr>
        <w:t xml:space="preserve">Australia </w:t>
      </w:r>
      <w:r w:rsidR="00A713D3">
        <w:rPr>
          <w:rFonts w:cstheme="minorHAnsi"/>
        </w:rPr>
        <w:t>and</w:t>
      </w:r>
      <w:r w:rsidR="009248AB">
        <w:rPr>
          <w:rFonts w:cstheme="minorHAnsi"/>
        </w:rPr>
        <w:t xml:space="preserve"> New Zealand </w:t>
      </w:r>
      <w:r w:rsidR="002B4DA6">
        <w:rPr>
          <w:rFonts w:cstheme="minorHAnsi"/>
        </w:rPr>
        <w:t>(</w:t>
      </w:r>
      <w:r w:rsidR="002A68F9">
        <w:rPr>
          <w:rFonts w:cstheme="minorHAnsi"/>
        </w:rPr>
        <w:t xml:space="preserve">APVMA 2020; </w:t>
      </w:r>
      <w:r w:rsidR="009248AB">
        <w:rPr>
          <w:rFonts w:cstheme="minorHAnsi"/>
        </w:rPr>
        <w:t>ACVM 202</w:t>
      </w:r>
      <w:r w:rsidR="008A4467">
        <w:rPr>
          <w:rFonts w:cstheme="minorHAnsi"/>
        </w:rPr>
        <w:t>3</w:t>
      </w:r>
      <w:r w:rsidR="002B4DA6">
        <w:rPr>
          <w:rFonts w:cstheme="minorHAnsi"/>
        </w:rPr>
        <w:t xml:space="preserve">). These </w:t>
      </w:r>
      <w:r w:rsidR="009248AB">
        <w:rPr>
          <w:rFonts w:cstheme="minorHAnsi"/>
        </w:rPr>
        <w:t xml:space="preserve">include </w:t>
      </w:r>
      <w:r w:rsidR="002B4DA6">
        <w:rPr>
          <w:rFonts w:cstheme="minorHAnsi"/>
        </w:rPr>
        <w:t xml:space="preserve">fibres, fruit, fungi, grains, </w:t>
      </w:r>
      <w:r w:rsidR="00025C58">
        <w:rPr>
          <w:rFonts w:cstheme="minorHAnsi"/>
        </w:rPr>
        <w:t xml:space="preserve">pasture, </w:t>
      </w:r>
      <w:r w:rsidR="002B4DA6">
        <w:rPr>
          <w:rFonts w:cstheme="minorHAnsi"/>
        </w:rPr>
        <w:t>grass, herbs, oil</w:t>
      </w:r>
      <w:r w:rsidR="00025C58">
        <w:rPr>
          <w:rFonts w:cstheme="minorHAnsi"/>
        </w:rPr>
        <w:t>seed</w:t>
      </w:r>
      <w:r w:rsidR="002B4DA6">
        <w:rPr>
          <w:rFonts w:cstheme="minorHAnsi"/>
        </w:rPr>
        <w:t xml:space="preserve"> </w:t>
      </w:r>
      <w:r w:rsidR="00025C58">
        <w:rPr>
          <w:rFonts w:cstheme="minorHAnsi"/>
        </w:rPr>
        <w:t xml:space="preserve">and </w:t>
      </w:r>
      <w:r w:rsidR="002B4DA6">
        <w:rPr>
          <w:rFonts w:cstheme="minorHAnsi"/>
        </w:rPr>
        <w:t>vegetables (</w:t>
      </w:r>
      <w:r w:rsidR="002A68F9">
        <w:rPr>
          <w:rFonts w:cstheme="minorHAnsi"/>
        </w:rPr>
        <w:t xml:space="preserve">APVMA 2020; </w:t>
      </w:r>
      <w:r w:rsidR="001F7260">
        <w:rPr>
          <w:rFonts w:cstheme="minorHAnsi"/>
        </w:rPr>
        <w:t>ACV</w:t>
      </w:r>
      <w:r w:rsidR="00F8268D">
        <w:rPr>
          <w:rFonts w:cstheme="minorHAnsi"/>
        </w:rPr>
        <w:t>M 202</w:t>
      </w:r>
      <w:r w:rsidR="008A4467">
        <w:rPr>
          <w:rFonts w:cstheme="minorHAnsi"/>
        </w:rPr>
        <w:t>3</w:t>
      </w:r>
      <w:r w:rsidR="002B4DA6">
        <w:rPr>
          <w:rFonts w:cstheme="minorHAnsi"/>
        </w:rPr>
        <w:t xml:space="preserve">). </w:t>
      </w:r>
      <w:r w:rsidR="00CE5401">
        <w:t xml:space="preserve">Fipronil is </w:t>
      </w:r>
      <w:r w:rsidR="00A44B70">
        <w:t xml:space="preserve">also </w:t>
      </w:r>
      <w:r w:rsidR="00CE5401">
        <w:t xml:space="preserve">used in Australia for locust and grasshopper control (APVMA 2012). </w:t>
      </w:r>
      <w:r w:rsidR="002B4DA6">
        <w:rPr>
          <w:rFonts w:cstheme="minorHAnsi"/>
        </w:rPr>
        <w:t>Non-agricultural uses include application to lawn, turf, sports fields</w:t>
      </w:r>
      <w:r w:rsidR="00CE5401">
        <w:rPr>
          <w:rFonts w:cstheme="minorHAnsi"/>
        </w:rPr>
        <w:t>,</w:t>
      </w:r>
      <w:r w:rsidR="002B4DA6">
        <w:rPr>
          <w:rFonts w:cstheme="minorHAnsi"/>
        </w:rPr>
        <w:t xml:space="preserve"> timber plantations </w:t>
      </w:r>
      <w:r w:rsidR="00CE5401">
        <w:rPr>
          <w:rFonts w:cstheme="minorHAnsi"/>
        </w:rPr>
        <w:t>and pets (</w:t>
      </w:r>
      <w:r w:rsidR="00735353">
        <w:rPr>
          <w:rFonts w:cstheme="minorHAnsi"/>
        </w:rPr>
        <w:t>to treat</w:t>
      </w:r>
      <w:r w:rsidR="00CE5401">
        <w:rPr>
          <w:rFonts w:cstheme="minorHAnsi"/>
        </w:rPr>
        <w:t xml:space="preserve"> fleas</w:t>
      </w:r>
      <w:r w:rsidR="00B9657F">
        <w:rPr>
          <w:rFonts w:cstheme="minorHAnsi"/>
        </w:rPr>
        <w:t>,</w:t>
      </w:r>
      <w:r w:rsidR="00CE5401">
        <w:rPr>
          <w:rFonts w:cstheme="minorHAnsi"/>
        </w:rPr>
        <w:t xml:space="preserve"> ticks and lice) </w:t>
      </w:r>
      <w:r w:rsidR="002B4DA6">
        <w:rPr>
          <w:rFonts w:cstheme="minorHAnsi"/>
        </w:rPr>
        <w:t>(</w:t>
      </w:r>
      <w:r w:rsidR="00F02509">
        <w:rPr>
          <w:rFonts w:cstheme="minorHAnsi"/>
        </w:rPr>
        <w:t xml:space="preserve">APVMA 2020; </w:t>
      </w:r>
      <w:r w:rsidR="00CE5401">
        <w:t>ACVM 202</w:t>
      </w:r>
      <w:r w:rsidR="008A4467">
        <w:t>3</w:t>
      </w:r>
      <w:r w:rsidR="002B4DA6">
        <w:rPr>
          <w:rFonts w:cstheme="minorHAnsi"/>
        </w:rPr>
        <w:t>).</w:t>
      </w:r>
      <w:r w:rsidR="00EB44BB">
        <w:rPr>
          <w:rFonts w:cstheme="minorHAnsi"/>
        </w:rPr>
        <w:t xml:space="preserve"> </w:t>
      </w:r>
      <w:r w:rsidR="00B24F02">
        <w:rPr>
          <w:rFonts w:cstheme="minorHAnsi"/>
        </w:rPr>
        <w:t xml:space="preserve">Fipronil is also used for direct nest injection treatment </w:t>
      </w:r>
      <w:r w:rsidR="001C3D7E">
        <w:rPr>
          <w:rFonts w:cstheme="minorHAnsi"/>
        </w:rPr>
        <w:t>for fire ant management (</w:t>
      </w:r>
      <w:r w:rsidR="001C6A23">
        <w:rPr>
          <w:rFonts w:cstheme="minorHAnsi"/>
        </w:rPr>
        <w:t>D</w:t>
      </w:r>
      <w:r w:rsidR="00566BEF">
        <w:rPr>
          <w:rFonts w:cstheme="minorHAnsi"/>
        </w:rPr>
        <w:t>AF</w:t>
      </w:r>
      <w:r w:rsidR="001C6A23">
        <w:rPr>
          <w:rFonts w:cstheme="minorHAnsi"/>
        </w:rPr>
        <w:t xml:space="preserve"> 2024</w:t>
      </w:r>
      <w:r w:rsidR="00706A04">
        <w:rPr>
          <w:rFonts w:cstheme="minorHAnsi"/>
        </w:rPr>
        <w:t>).</w:t>
      </w:r>
      <w:r w:rsidR="00EF3934">
        <w:rPr>
          <w:rFonts w:cstheme="minorHAnsi"/>
        </w:rPr>
        <w:t xml:space="preserve"> The </w:t>
      </w:r>
      <w:r w:rsidR="005E68E8" w:rsidRPr="005E68E8">
        <w:rPr>
          <w:rFonts w:cstheme="minorHAnsi"/>
        </w:rPr>
        <w:t>Australian Pesticides and Veterinary Medicines Authority</w:t>
      </w:r>
      <w:r w:rsidR="0068737D">
        <w:rPr>
          <w:rFonts w:cstheme="minorHAnsi"/>
        </w:rPr>
        <w:t xml:space="preserve"> is undertaking a chemical review of fipronil</w:t>
      </w:r>
      <w:r w:rsidR="005E68E8">
        <w:rPr>
          <w:rFonts w:cstheme="minorHAnsi"/>
        </w:rPr>
        <w:t>; the outcome of this review</w:t>
      </w:r>
      <w:r w:rsidR="0068737D">
        <w:rPr>
          <w:rFonts w:cstheme="minorHAnsi"/>
        </w:rPr>
        <w:t xml:space="preserve"> </w:t>
      </w:r>
      <w:r w:rsidR="003D0623">
        <w:rPr>
          <w:rFonts w:cstheme="minorHAnsi"/>
        </w:rPr>
        <w:t xml:space="preserve">may influence the registration and use of fipronil described </w:t>
      </w:r>
      <w:r w:rsidR="005E68E8">
        <w:rPr>
          <w:rFonts w:cstheme="minorHAnsi"/>
        </w:rPr>
        <w:t>in this technical brief</w:t>
      </w:r>
      <w:r w:rsidR="003D0623">
        <w:rPr>
          <w:rFonts w:cstheme="minorHAnsi"/>
        </w:rPr>
        <w:t>.</w:t>
      </w:r>
      <w:r w:rsidR="00F7598C">
        <w:rPr>
          <w:rFonts w:cstheme="minorHAnsi"/>
        </w:rPr>
        <w:t xml:space="preserve"> </w:t>
      </w:r>
    </w:p>
    <w:p w14:paraId="78D7DC9E" w14:textId="7D40417F" w:rsidR="00B75665" w:rsidRDefault="00FA11BD" w:rsidP="00E8209D">
      <w:r w:rsidRPr="00FA11BD">
        <w:lastRenderedPageBreak/>
        <w:t>Although fipronil is not routinely monitored in Australian and New Zealand marine water, it may end up in aquatic environments due to runoff (APVMA 2012; Bonmatin et al. 2015). Waterways that discharge to the Great Barrier Reef lagoon have reported fipronil concentrations at less than the limit of reporting (0.005 µg/L) (Water Quality and Investigations 2020).</w:t>
      </w:r>
      <w:r>
        <w:t xml:space="preserve"> </w:t>
      </w:r>
      <w:r w:rsidR="000B11CC">
        <w:t xml:space="preserve">Therefore, concentrations in the </w:t>
      </w:r>
      <w:r w:rsidR="00BF3102">
        <w:t>Great Barrier Reef</w:t>
      </w:r>
      <w:r w:rsidR="000B11CC">
        <w:t xml:space="preserve"> lagoon are likely to be even lower.</w:t>
      </w:r>
    </w:p>
    <w:p w14:paraId="0CAEF686" w14:textId="63DB2790" w:rsidR="003E12A3" w:rsidRDefault="00B75665" w:rsidP="00E8209D">
      <w:r>
        <w:t xml:space="preserve">Fipronil is a </w:t>
      </w:r>
      <w:r w:rsidR="00A20F91">
        <w:t>broad-spectrum</w:t>
      </w:r>
      <w:r>
        <w:t xml:space="preserve"> insecticide that has low</w:t>
      </w:r>
      <w:r w:rsidR="009171C4">
        <w:t>-</w:t>
      </w:r>
      <w:r>
        <w:t>to</w:t>
      </w:r>
      <w:r w:rsidR="009171C4">
        <w:t>-</w:t>
      </w:r>
      <w:r>
        <w:t>moderate solubility in water and high soil adsorption characteristics as indicated by its log</w:t>
      </w:r>
      <w:r w:rsidR="009171C4">
        <w:t> </w:t>
      </w:r>
      <w:r>
        <w:t>K</w:t>
      </w:r>
      <w:r w:rsidRPr="00F948F3">
        <w:rPr>
          <w:vertAlign w:val="subscript"/>
        </w:rPr>
        <w:t>oc</w:t>
      </w:r>
      <w:r>
        <w:t xml:space="preserve"> value (</w:t>
      </w:r>
      <w:r w:rsidR="00BA4822">
        <w:fldChar w:fldCharType="begin"/>
      </w:r>
      <w:r w:rsidR="00BA4822">
        <w:instrText xml:space="preserve"> REF _Ref129766344 \h </w:instrText>
      </w:r>
      <w:r w:rsidR="00BA4822">
        <w:fldChar w:fldCharType="separate"/>
      </w:r>
      <w:r w:rsidR="00BA1209">
        <w:t>Table </w:t>
      </w:r>
      <w:r w:rsidR="00BA1209">
        <w:rPr>
          <w:noProof/>
        </w:rPr>
        <w:t>1</w:t>
      </w:r>
      <w:r w:rsidR="00BA4822">
        <w:fldChar w:fldCharType="end"/>
      </w:r>
      <w:r>
        <w:t>) (BCPC 2012; University of Hertfordshire 2013). It has a low potential for volat</w:t>
      </w:r>
      <w:r w:rsidR="00CE5401">
        <w:t>il</w:t>
      </w:r>
      <w:r>
        <w:t>isation</w:t>
      </w:r>
      <w:r w:rsidR="009171C4">
        <w:t>,</w:t>
      </w:r>
      <w:r>
        <w:t xml:space="preserve"> with variable persistence in soils, waterways and non-target plants (</w:t>
      </w:r>
      <w:r w:rsidR="00BA4822">
        <w:fldChar w:fldCharType="begin"/>
      </w:r>
      <w:r w:rsidR="00BA4822">
        <w:instrText xml:space="preserve"> REF _Ref129766344 \h </w:instrText>
      </w:r>
      <w:r w:rsidR="00BA4822">
        <w:fldChar w:fldCharType="separate"/>
      </w:r>
      <w:r w:rsidR="00BA1209">
        <w:t>Table </w:t>
      </w:r>
      <w:r w:rsidR="00BA1209">
        <w:rPr>
          <w:noProof/>
        </w:rPr>
        <w:t>1</w:t>
      </w:r>
      <w:r w:rsidR="00BA4822">
        <w:fldChar w:fldCharType="end"/>
      </w:r>
      <w:r>
        <w:t>).</w:t>
      </w:r>
    </w:p>
    <w:p w14:paraId="4717A893" w14:textId="6E871234" w:rsidR="00382D26" w:rsidRDefault="003E12A3" w:rsidP="00E8209D">
      <w:r w:rsidRPr="00B75665">
        <w:t xml:space="preserve">Fipronil is manufactured and used as a 1:1 mixture </w:t>
      </w:r>
      <w:r w:rsidR="005826A2">
        <w:t>of enantiome</w:t>
      </w:r>
      <w:r w:rsidR="00BB0348">
        <w:t xml:space="preserve">rs </w:t>
      </w:r>
      <w:r w:rsidRPr="00B75665">
        <w:t>(called a racemate), containing 50% each of (+) and (-) enantiomers (Overmyer et al. 2007</w:t>
      </w:r>
      <w:r>
        <w:t>;</w:t>
      </w:r>
      <w:r w:rsidRPr="00B75665">
        <w:t xml:space="preserve"> Wilson et al. 2008)</w:t>
      </w:r>
      <w:r w:rsidR="00E815EF">
        <w:t xml:space="preserve"> </w:t>
      </w:r>
      <w:r w:rsidR="00D03EC5">
        <w:t>identified by t</w:t>
      </w:r>
      <w:r w:rsidR="00E815EF">
        <w:t xml:space="preserve">he </w:t>
      </w:r>
      <w:r w:rsidR="00D94AB6" w:rsidRPr="00D94AB6">
        <w:t xml:space="preserve">International Union of Pure and Applied Chemistry </w:t>
      </w:r>
      <w:r w:rsidR="00E815EF">
        <w:t xml:space="preserve">name </w:t>
      </w:r>
      <w:r w:rsidR="00E815EF" w:rsidRPr="00971C3F">
        <w:rPr>
          <w:i/>
          <w:iCs/>
        </w:rPr>
        <w:t>(RS)-5-amino-1-[2,6-dichloro-4-(trifluoromethyl)phenyl]-4-(trifluoromethylsulfinyl)-1H-pyrazole-3-carbonitrile</w:t>
      </w:r>
      <w:r w:rsidRPr="00B75665">
        <w:t xml:space="preserve">. Biological processes within organisms or in the environment can alter the enantiomeric fractions of fipronil, resulting in enrichment in one enantiomer over the other, where one is selectively biotransformed (Baird et al. 2013). </w:t>
      </w:r>
      <w:r w:rsidR="00140BF0">
        <w:t>E</w:t>
      </w:r>
      <w:r w:rsidRPr="00B75665">
        <w:t xml:space="preserve">nvironmental </w:t>
      </w:r>
      <w:r w:rsidR="00140BF0">
        <w:t>occurrences</w:t>
      </w:r>
      <w:r w:rsidR="00140BF0" w:rsidRPr="00B75665">
        <w:t xml:space="preserve"> </w:t>
      </w:r>
      <w:r w:rsidR="00140BF0">
        <w:t>of</w:t>
      </w:r>
      <w:r w:rsidR="00140BF0" w:rsidRPr="00B75665">
        <w:t xml:space="preserve"> </w:t>
      </w:r>
      <w:r w:rsidRPr="00B75665">
        <w:t>fipronil may be from mixtures enriched in either enantiomer, even though ﬁpronil is applied</w:t>
      </w:r>
      <w:r w:rsidR="006232D6">
        <w:t xml:space="preserve"> as a racemate (Overmyer et al.</w:t>
      </w:r>
      <w:r w:rsidRPr="00B75665">
        <w:t xml:space="preserve"> 2007). The ecotoxicology of the (+) and (-) enantiomers and racemic mixtures of fipronil indicates some evidence of enantiomer-specific toxicity. Konwick et al. (2005) states that the </w:t>
      </w:r>
      <w:r w:rsidRPr="00B75665">
        <w:rPr>
          <w:i/>
        </w:rPr>
        <w:t>S</w:t>
      </w:r>
      <w:r w:rsidR="00140BF0">
        <w:rPr>
          <w:i/>
        </w:rPr>
        <w:t> </w:t>
      </w:r>
      <w:r w:rsidRPr="00B75665">
        <w:t xml:space="preserve">enantiomer is generally more toxic than the </w:t>
      </w:r>
      <w:r w:rsidRPr="00B75665">
        <w:rPr>
          <w:i/>
        </w:rPr>
        <w:t>R</w:t>
      </w:r>
      <w:r w:rsidR="00140BF0">
        <w:t> </w:t>
      </w:r>
      <w:r w:rsidRPr="00B75665">
        <w:t>enantiomer or a 50:50 racemic mixture</w:t>
      </w:r>
      <w:r w:rsidR="003166B2">
        <w:t>;</w:t>
      </w:r>
      <w:r w:rsidRPr="00B75665">
        <w:t xml:space="preserve"> however</w:t>
      </w:r>
      <w:r w:rsidR="003166B2">
        <w:t>,</w:t>
      </w:r>
      <w:r w:rsidRPr="00B75665">
        <w:t xml:space="preserve"> this trend is not distinctly recognisable in the present dataset due to the limited ecotoxicity data available for fipronil. </w:t>
      </w:r>
      <w:r>
        <w:t>I</w:t>
      </w:r>
      <w:r w:rsidRPr="00B75665">
        <w:t>nsufficient data were available during preparation of th</w:t>
      </w:r>
      <w:r w:rsidR="00B36934">
        <w:t>ese DGVs</w:t>
      </w:r>
      <w:r w:rsidRPr="00B75665">
        <w:t xml:space="preserve"> to support intra-species comparisons to confirm whether the racemate, or an enantiomer</w:t>
      </w:r>
      <w:r w:rsidR="00B36934">
        <w:t>,</w:t>
      </w:r>
      <w:r w:rsidRPr="00B75665">
        <w:t xml:space="preserve"> was consistently more toxic. </w:t>
      </w:r>
    </w:p>
    <w:p w14:paraId="0F2FCB2A" w14:textId="585F7D97" w:rsidR="008F7426" w:rsidRPr="00E8209D" w:rsidRDefault="008F7426" w:rsidP="00E8209D">
      <w:pPr>
        <w:pStyle w:val="Heading2"/>
      </w:pPr>
      <w:bookmarkStart w:id="10" w:name="_Toc46327088"/>
      <w:bookmarkStart w:id="11" w:name="_Ref199343010"/>
      <w:bookmarkStart w:id="12" w:name="_Toc205549914"/>
      <w:r w:rsidRPr="00E8209D">
        <w:t>Aquatic toxicology</w:t>
      </w:r>
      <w:bookmarkEnd w:id="10"/>
      <w:bookmarkEnd w:id="11"/>
      <w:bookmarkEnd w:id="12"/>
    </w:p>
    <w:p w14:paraId="3791C0A8" w14:textId="77777777" w:rsidR="008F7426" w:rsidRPr="00941E22" w:rsidRDefault="008F7426" w:rsidP="00E8209D">
      <w:pPr>
        <w:pStyle w:val="Heading3"/>
      </w:pPr>
      <w:bookmarkStart w:id="13" w:name="_Toc46327089"/>
      <w:bookmarkStart w:id="14" w:name="_Toc205549915"/>
      <w:r w:rsidRPr="00941E22">
        <w:t>Mechanisms of toxicity</w:t>
      </w:r>
      <w:bookmarkEnd w:id="13"/>
      <w:bookmarkEnd w:id="14"/>
    </w:p>
    <w:p w14:paraId="18547339" w14:textId="2E1AA454" w:rsidR="008F7426" w:rsidRPr="008A4925" w:rsidRDefault="00B75665" w:rsidP="00E8209D">
      <w:pPr>
        <w:rPr>
          <w:noProof/>
        </w:rPr>
      </w:pPr>
      <w:r w:rsidRPr="00B75665">
        <w:rPr>
          <w:bCs/>
        </w:rPr>
        <w:t xml:space="preserve">Fipronil is </w:t>
      </w:r>
      <w:r>
        <w:t xml:space="preserve">absorbed through </w:t>
      </w:r>
      <w:r w:rsidR="003976F1">
        <w:t>plant</w:t>
      </w:r>
      <w:r>
        <w:t xml:space="preserve"> leaves following foliar application. </w:t>
      </w:r>
      <w:r w:rsidRPr="00B75665">
        <w:rPr>
          <w:bCs/>
        </w:rPr>
        <w:t xml:space="preserve">It is then </w:t>
      </w:r>
      <w:r w:rsidRPr="00FF3A8E">
        <w:t>translocated acropetally (i.e. move</w:t>
      </w:r>
      <w:r w:rsidR="000B11CC">
        <w:t>d</w:t>
      </w:r>
      <w:r w:rsidRPr="00FF3A8E">
        <w:t xml:space="preserve"> upwards from </w:t>
      </w:r>
      <w:r w:rsidR="003976F1">
        <w:t>plant</w:t>
      </w:r>
      <w:r w:rsidRPr="00FF3A8E">
        <w:t xml:space="preserve"> base to apex) in the xylem</w:t>
      </w:r>
      <w:r w:rsidRPr="000B7B80">
        <w:t xml:space="preserve"> </w:t>
      </w:r>
      <w:r>
        <w:t xml:space="preserve">and </w:t>
      </w:r>
      <w:r w:rsidRPr="00FF3A8E">
        <w:t xml:space="preserve">accumulates in the </w:t>
      </w:r>
      <w:r>
        <w:t>plant tissues (</w:t>
      </w:r>
      <w:r w:rsidRPr="00B75665">
        <w:rPr>
          <w:lang w:val="en"/>
        </w:rPr>
        <w:t>Bonmatin et al. 2015)</w:t>
      </w:r>
      <w:r>
        <w:t xml:space="preserve">. </w:t>
      </w:r>
      <w:r w:rsidRPr="00B75665">
        <w:rPr>
          <w:bCs/>
        </w:rPr>
        <w:t>Fipronil exerts toxicity by binding to the γ-aminobutyric acid (GABA) receptors and glutamate-gated chloride channels in nerve cells</w:t>
      </w:r>
      <w:r w:rsidR="00365986">
        <w:rPr>
          <w:bCs/>
        </w:rPr>
        <w:t>. I</w:t>
      </w:r>
      <w:r w:rsidR="000800B7">
        <w:rPr>
          <w:bCs/>
        </w:rPr>
        <w:t xml:space="preserve">t </w:t>
      </w:r>
      <w:r w:rsidR="00365986">
        <w:rPr>
          <w:bCs/>
        </w:rPr>
        <w:t>more-strongly binds to</w:t>
      </w:r>
      <w:r w:rsidRPr="00B75665">
        <w:rPr>
          <w:bCs/>
        </w:rPr>
        <w:t xml:space="preserve"> receptors in </w:t>
      </w:r>
      <w:r w:rsidR="000800B7">
        <w:rPr>
          <w:bCs/>
        </w:rPr>
        <w:t>arthropods</w:t>
      </w:r>
      <w:r w:rsidRPr="00B75665">
        <w:rPr>
          <w:bCs/>
        </w:rPr>
        <w:t xml:space="preserve"> </w:t>
      </w:r>
      <w:r w:rsidR="001F38BE">
        <w:rPr>
          <w:bCs/>
        </w:rPr>
        <w:t xml:space="preserve">(e.g. </w:t>
      </w:r>
      <w:r w:rsidR="000800B7">
        <w:rPr>
          <w:bCs/>
        </w:rPr>
        <w:t xml:space="preserve">insects, </w:t>
      </w:r>
      <w:r w:rsidR="001F38BE">
        <w:rPr>
          <w:bCs/>
        </w:rPr>
        <w:t xml:space="preserve">crustaceans) </w:t>
      </w:r>
      <w:r w:rsidRPr="00B75665">
        <w:rPr>
          <w:bCs/>
        </w:rPr>
        <w:t xml:space="preserve">than </w:t>
      </w:r>
      <w:r w:rsidR="00365986">
        <w:rPr>
          <w:bCs/>
        </w:rPr>
        <w:t xml:space="preserve">to </w:t>
      </w:r>
      <w:r w:rsidRPr="00B75665">
        <w:rPr>
          <w:bCs/>
        </w:rPr>
        <w:t xml:space="preserve">receptors in vertebrates (Konwick et al. 2005; Narahashi et al. 2010; </w:t>
      </w:r>
      <w:r w:rsidR="0050114E" w:rsidRPr="00B75665">
        <w:rPr>
          <w:bCs/>
        </w:rPr>
        <w:t xml:space="preserve">Baird et al. 2013; </w:t>
      </w:r>
      <w:r w:rsidRPr="00B75665">
        <w:rPr>
          <w:bCs/>
        </w:rPr>
        <w:t xml:space="preserve">Simon-Delso et al. 2015). Blocking these receptors results in neuronal hyperexcitation, which paralyses and kills the organism (Simon-Delso et al. 2015). </w:t>
      </w:r>
      <w:r>
        <w:t xml:space="preserve">Its systemic properties make </w:t>
      </w:r>
      <w:r w:rsidR="00562D57">
        <w:t>fipronil</w:t>
      </w:r>
      <w:r w:rsidRPr="00562D57">
        <w:rPr>
          <w:bCs/>
        </w:rPr>
        <w:t xml:space="preserve"> </w:t>
      </w:r>
      <w:r>
        <w:t>effective at controlling insects and arthropods with piercing/sucking mouthparts</w:t>
      </w:r>
      <w:r w:rsidR="00562D57">
        <w:t>,</w:t>
      </w:r>
      <w:r>
        <w:t xml:space="preserve"> such as stem borers, leaf miners, plant hoppers, and weevils (BCPC 2012).</w:t>
      </w:r>
    </w:p>
    <w:p w14:paraId="5F3C792A" w14:textId="77777777" w:rsidR="00626680" w:rsidRPr="001E48DD" w:rsidRDefault="00626680" w:rsidP="00E8209D">
      <w:pPr>
        <w:pStyle w:val="Heading3"/>
      </w:pPr>
      <w:bookmarkStart w:id="15" w:name="_Toc205549916"/>
      <w:r w:rsidRPr="001E48DD">
        <w:t>Relative toxicity</w:t>
      </w:r>
      <w:bookmarkEnd w:id="15"/>
    </w:p>
    <w:p w14:paraId="2C0DE449" w14:textId="50AB05B6" w:rsidR="00B864CA" w:rsidRDefault="00D8444D" w:rsidP="00E8209D">
      <w:r w:rsidRPr="00B75665">
        <w:t xml:space="preserve">Based on a review of the </w:t>
      </w:r>
      <w:r>
        <w:t>mechanisms of toxicity</w:t>
      </w:r>
      <w:r w:rsidRPr="00B75665">
        <w:t xml:space="preserve">, and consistent with its mode of action, fipronil is highly toxic to aquatic invertebrates, with lower toxicity to fish, frogs and </w:t>
      </w:r>
      <w:r w:rsidR="003166B2">
        <w:t>ph</w:t>
      </w:r>
      <w:r w:rsidR="00A479CD">
        <w:t>o</w:t>
      </w:r>
      <w:r w:rsidR="003166B2">
        <w:t>totroph</w:t>
      </w:r>
      <w:r w:rsidR="004F37B6">
        <w:t>s</w:t>
      </w:r>
      <w:r w:rsidR="003166B2">
        <w:t xml:space="preserve"> such as </w:t>
      </w:r>
      <w:r w:rsidR="003166B2">
        <w:lastRenderedPageBreak/>
        <w:t xml:space="preserve">macrophytes and </w:t>
      </w:r>
      <w:r w:rsidRPr="00B75665">
        <w:t xml:space="preserve">algae. </w:t>
      </w:r>
      <w:r w:rsidR="00B864CA">
        <w:t>The evidence indicates that arthropod</w:t>
      </w:r>
      <w:r w:rsidR="004F37B6">
        <w:t>s</w:t>
      </w:r>
      <w:r w:rsidR="00B864CA">
        <w:t xml:space="preserve"> are more sensitive than non-arthropod</w:t>
      </w:r>
      <w:r w:rsidR="004F37B6">
        <w:t>s</w:t>
      </w:r>
      <w:r w:rsidR="00B864CA">
        <w:t xml:space="preserve"> (i.e. toxic effects occurred at lower concentrations), although there is some overlap in their sensitivities </w:t>
      </w:r>
      <w:r w:rsidR="00162997">
        <w:t>(</w:t>
      </w:r>
      <w:r w:rsidR="00162997">
        <w:fldChar w:fldCharType="begin"/>
      </w:r>
      <w:r w:rsidR="00162997">
        <w:instrText xml:space="preserve"> REF _Ref199343330 \h  \* MERGEFORMAT </w:instrText>
      </w:r>
      <w:r w:rsidR="00162997">
        <w:fldChar w:fldCharType="separate"/>
      </w:r>
      <w:r w:rsidR="00BA1209" w:rsidRPr="00BA1209">
        <w:t>Appendix B</w:t>
      </w:r>
      <w:r w:rsidR="00BA1209" w:rsidRPr="003C5047">
        <w:rPr>
          <w:sz w:val="52"/>
        </w:rPr>
        <w:t xml:space="preserve">: </w:t>
      </w:r>
      <w:r w:rsidR="00BA1209" w:rsidRPr="003C5047">
        <w:rPr>
          <w:rStyle w:val="Heading3Char"/>
          <w:b w:val="0"/>
          <w:sz w:val="52"/>
        </w:rPr>
        <w:t>Modality assessment for fipronil toxicity to aquatic species</w:t>
      </w:r>
      <w:r w:rsidR="00162997">
        <w:fldChar w:fldCharType="end"/>
      </w:r>
      <w:r w:rsidR="00B864CA">
        <w:t>)</w:t>
      </w:r>
      <w:r w:rsidR="00B864CA" w:rsidRPr="00E508C3">
        <w:t>.</w:t>
      </w:r>
    </w:p>
    <w:p w14:paraId="68DAABFC" w14:textId="5EB646D2" w:rsidR="00B75665" w:rsidRDefault="00B864CA" w:rsidP="00E8209D">
      <w:r>
        <w:t>T</w:t>
      </w:r>
      <w:r w:rsidR="00D8444D">
        <w:t xml:space="preserve">here are substantially fewer toxicity data available for fipronil for marine </w:t>
      </w:r>
      <w:r w:rsidR="005664B7">
        <w:t xml:space="preserve">or estuarine </w:t>
      </w:r>
      <w:r w:rsidR="00D8444D">
        <w:t>species compared to freshwater species</w:t>
      </w:r>
      <w:r w:rsidR="00755B9F">
        <w:t>. I</w:t>
      </w:r>
      <w:r>
        <w:t xml:space="preserve">n collating data for the </w:t>
      </w:r>
      <w:r w:rsidR="002F4BCA">
        <w:t xml:space="preserve">DGV </w:t>
      </w:r>
      <w:r>
        <w:t>derivation, t</w:t>
      </w:r>
      <w:r w:rsidR="00B75665">
        <w:t xml:space="preserve">here were toxicity data for nine marine </w:t>
      </w:r>
      <w:r w:rsidR="00F53CE0">
        <w:t xml:space="preserve">and estuarine </w:t>
      </w:r>
      <w:r w:rsidR="00B75665">
        <w:t>species</w:t>
      </w:r>
      <w:r w:rsidR="0065638E">
        <w:t xml:space="preserve"> </w:t>
      </w:r>
      <w:r>
        <w:t xml:space="preserve">compared to toxicity data for </w:t>
      </w:r>
      <w:r w:rsidR="0065638E">
        <w:t>36</w:t>
      </w:r>
      <w:r w:rsidR="002F4BCA">
        <w:t> </w:t>
      </w:r>
      <w:r w:rsidR="0065638E">
        <w:t>freshwater</w:t>
      </w:r>
      <w:r w:rsidR="00B75665">
        <w:t xml:space="preserve"> </w:t>
      </w:r>
      <w:r w:rsidR="0018610A">
        <w:t xml:space="preserve">species </w:t>
      </w:r>
      <w:r w:rsidR="00B75665">
        <w:t xml:space="preserve">that passed the screening and quality assessment processes. </w:t>
      </w:r>
    </w:p>
    <w:p w14:paraId="4F7369DC" w14:textId="0D889AC4" w:rsidR="00C66636" w:rsidRPr="00F27195" w:rsidRDefault="00C66636" w:rsidP="00F27195">
      <w:pPr>
        <w:pStyle w:val="Heading4"/>
      </w:pPr>
      <w:r w:rsidRPr="00F27195">
        <w:t xml:space="preserve">Marine </w:t>
      </w:r>
      <w:r w:rsidR="00F53CE0" w:rsidRPr="00F27195">
        <w:t xml:space="preserve">and estuarine </w:t>
      </w:r>
      <w:r w:rsidRPr="00F27195">
        <w:t>data</w:t>
      </w:r>
    </w:p>
    <w:p w14:paraId="190A7F8D" w14:textId="0E9D40F3" w:rsidR="00B36603" w:rsidRPr="00F53CE0" w:rsidRDefault="00B75665" w:rsidP="00F27195">
      <w:pPr>
        <w:rPr>
          <w:rFonts w:cstheme="minorHAnsi"/>
          <w:color w:val="000000"/>
          <w:lang w:val="en-GB"/>
        </w:rPr>
      </w:pPr>
      <w:r>
        <w:t>The</w:t>
      </w:r>
      <w:r w:rsidR="00843288">
        <w:t xml:space="preserve"> </w:t>
      </w:r>
      <w:r w:rsidR="00221A7C">
        <w:t>toxicity values for</w:t>
      </w:r>
      <w:r>
        <w:t xml:space="preserve"> </w:t>
      </w:r>
      <w:r w:rsidR="00464BC3">
        <w:t>arthropods</w:t>
      </w:r>
      <w:r w:rsidR="00843288">
        <w:t xml:space="preserve"> were diverse</w:t>
      </w:r>
      <w:r>
        <w:t>, with values</w:t>
      </w:r>
      <w:r w:rsidR="00B36603">
        <w:t xml:space="preserve"> </w:t>
      </w:r>
      <w:r>
        <w:t>ranging from</w:t>
      </w:r>
      <w:r w:rsidR="00B36603">
        <w:t xml:space="preserve"> </w:t>
      </w:r>
      <w:r w:rsidR="009A57AE">
        <w:t xml:space="preserve">a </w:t>
      </w:r>
      <w:r w:rsidR="00221A7C">
        <w:t xml:space="preserve">chronic </w:t>
      </w:r>
      <w:r w:rsidR="00B36603">
        <w:t xml:space="preserve">45-d LOEC of </w:t>
      </w:r>
      <w:r>
        <w:t>0.00</w:t>
      </w:r>
      <w:r w:rsidR="00A02F18">
        <w:t>0143</w:t>
      </w:r>
      <w:r w:rsidR="00B36603">
        <w:t> </w:t>
      </w:r>
      <w:r w:rsidR="00B36603">
        <w:rPr>
          <w:rFonts w:cstheme="minorHAnsi"/>
        </w:rPr>
        <w:t>µ</w:t>
      </w:r>
      <w:r w:rsidR="00B36603">
        <w:t>g/L</w:t>
      </w:r>
      <w:r w:rsidR="00F1038A">
        <w:t xml:space="preserve"> for </w:t>
      </w:r>
      <w:r w:rsidR="00F1038A" w:rsidRPr="00F1038A">
        <w:rPr>
          <w:i/>
        </w:rPr>
        <w:t>Palaemonetes pugio</w:t>
      </w:r>
      <w:r w:rsidR="00B36603">
        <w:t xml:space="preserve"> </w:t>
      </w:r>
      <w:r>
        <w:t>(</w:t>
      </w:r>
      <w:r w:rsidR="00794B22">
        <w:t>Volz et al. 2003</w:t>
      </w:r>
      <w:r>
        <w:t>) to</w:t>
      </w:r>
      <w:r w:rsidR="00F1038A">
        <w:t xml:space="preserve"> an acute 96-h LC50 value of 13 </w:t>
      </w:r>
      <w:r w:rsidR="00F1038A">
        <w:rPr>
          <w:rFonts w:cstheme="minorHAnsi"/>
        </w:rPr>
        <w:t>µ</w:t>
      </w:r>
      <w:r w:rsidR="00F1038A">
        <w:t xml:space="preserve">g/L for </w:t>
      </w:r>
      <w:r w:rsidR="00F1038A" w:rsidRPr="00F53CE0">
        <w:rPr>
          <w:rFonts w:cstheme="minorHAnsi"/>
          <w:i/>
          <w:color w:val="222222"/>
        </w:rPr>
        <w:t>Amphiascus tenuiremis</w:t>
      </w:r>
      <w:r w:rsidR="00F1038A">
        <w:rPr>
          <w:rFonts w:cstheme="minorHAnsi"/>
          <w:color w:val="222222"/>
        </w:rPr>
        <w:t xml:space="preserve"> (Chandler et al. 2004).</w:t>
      </w:r>
      <w:r>
        <w:t xml:space="preserve"> </w:t>
      </w:r>
      <w:r w:rsidR="00B82EA5" w:rsidRPr="00F53CE0">
        <w:t>The</w:t>
      </w:r>
      <w:r w:rsidR="00D74AA4" w:rsidRPr="00F53CE0">
        <w:rPr>
          <w:rFonts w:cstheme="minorHAnsi"/>
          <w:color w:val="000000"/>
          <w:lang w:val="en-GB"/>
        </w:rPr>
        <w:t xml:space="preserve"> value for </w:t>
      </w:r>
      <w:r w:rsidR="00D74AA4" w:rsidRPr="00F53CE0">
        <w:rPr>
          <w:rFonts w:cstheme="minorHAnsi"/>
          <w:i/>
          <w:color w:val="000000"/>
          <w:lang w:val="en-GB"/>
        </w:rPr>
        <w:t>P.</w:t>
      </w:r>
      <w:r w:rsidR="00F1038A">
        <w:rPr>
          <w:rFonts w:cstheme="minorHAnsi"/>
          <w:i/>
          <w:color w:val="000000"/>
          <w:lang w:val="en-GB"/>
        </w:rPr>
        <w:t> </w:t>
      </w:r>
      <w:r w:rsidR="00D74AA4" w:rsidRPr="00F53CE0">
        <w:rPr>
          <w:rFonts w:cstheme="minorHAnsi"/>
          <w:i/>
          <w:color w:val="000000"/>
          <w:lang w:val="en-GB"/>
        </w:rPr>
        <w:t>pugio</w:t>
      </w:r>
      <w:r w:rsidR="00D74AA4" w:rsidRPr="00F53CE0">
        <w:rPr>
          <w:rFonts w:cstheme="minorHAnsi"/>
          <w:color w:val="000000"/>
          <w:lang w:val="en-GB"/>
        </w:rPr>
        <w:t xml:space="preserve"> </w:t>
      </w:r>
      <w:r w:rsidR="00B82EA5" w:rsidRPr="00F53CE0">
        <w:rPr>
          <w:rFonts w:cstheme="minorHAnsi"/>
          <w:color w:val="000000"/>
          <w:lang w:val="en-GB"/>
        </w:rPr>
        <w:t>is</w:t>
      </w:r>
      <w:r w:rsidR="00D74AA4" w:rsidRPr="00F53CE0">
        <w:rPr>
          <w:rFonts w:cstheme="minorHAnsi"/>
          <w:color w:val="000000"/>
          <w:lang w:val="en-GB"/>
        </w:rPr>
        <w:t xml:space="preserve"> 35</w:t>
      </w:r>
      <w:r w:rsidR="008D34F6">
        <w:rPr>
          <w:rFonts w:cstheme="minorHAnsi"/>
          <w:color w:val="000000"/>
          <w:lang w:val="en-GB"/>
        </w:rPr>
        <w:t xml:space="preserve"> </w:t>
      </w:r>
      <w:r w:rsidR="009A57AE" w:rsidRPr="00F53CE0">
        <w:rPr>
          <w:rFonts w:cstheme="minorHAnsi"/>
          <w:color w:val="000000"/>
          <w:lang w:val="en-GB"/>
        </w:rPr>
        <w:t>times</w:t>
      </w:r>
      <w:r w:rsidR="00D74AA4" w:rsidRPr="00F53CE0">
        <w:rPr>
          <w:rFonts w:cstheme="minorHAnsi"/>
          <w:color w:val="222222"/>
        </w:rPr>
        <w:t xml:space="preserve"> </w:t>
      </w:r>
      <w:r w:rsidR="00221A7C">
        <w:rPr>
          <w:rFonts w:cstheme="minorHAnsi"/>
          <w:color w:val="222222"/>
        </w:rPr>
        <w:t>lower</w:t>
      </w:r>
      <w:r w:rsidR="00D74AA4" w:rsidRPr="00F53CE0">
        <w:rPr>
          <w:rFonts w:cstheme="minorHAnsi"/>
          <w:color w:val="222222"/>
        </w:rPr>
        <w:t xml:space="preserve"> than the next most sensitive </w:t>
      </w:r>
      <w:r w:rsidR="00B82EA5" w:rsidRPr="00F53CE0">
        <w:rPr>
          <w:rFonts w:cstheme="minorHAnsi"/>
          <w:color w:val="222222"/>
        </w:rPr>
        <w:t>arthropod</w:t>
      </w:r>
      <w:r w:rsidR="00D74AA4" w:rsidRPr="00F53CE0">
        <w:rPr>
          <w:rFonts w:cstheme="minorHAnsi"/>
          <w:color w:val="222222"/>
        </w:rPr>
        <w:t>,</w:t>
      </w:r>
      <w:r w:rsidR="00221A7C">
        <w:rPr>
          <w:rFonts w:cstheme="minorHAnsi"/>
          <w:color w:val="222222"/>
        </w:rPr>
        <w:t xml:space="preserve"> the mysid shrimp</w:t>
      </w:r>
      <w:r w:rsidR="00D74AA4" w:rsidRPr="00F53CE0">
        <w:rPr>
          <w:rFonts w:cstheme="minorHAnsi"/>
          <w:color w:val="222222"/>
        </w:rPr>
        <w:t xml:space="preserve"> </w:t>
      </w:r>
      <w:r w:rsidR="00D74AA4" w:rsidRPr="00F53CE0">
        <w:rPr>
          <w:rFonts w:cstheme="minorHAnsi"/>
          <w:i/>
          <w:color w:val="222222"/>
        </w:rPr>
        <w:t>Americamysis bahia</w:t>
      </w:r>
      <w:r w:rsidR="00221A7C">
        <w:rPr>
          <w:rFonts w:cstheme="minorHAnsi"/>
          <w:iCs/>
          <w:color w:val="222222"/>
        </w:rPr>
        <w:t>,</w:t>
      </w:r>
      <w:r w:rsidR="00D74AA4" w:rsidRPr="00F53CE0">
        <w:rPr>
          <w:rFonts w:cstheme="minorHAnsi"/>
          <w:color w:val="222222"/>
        </w:rPr>
        <w:t xml:space="preserve"> w</w:t>
      </w:r>
      <w:r w:rsidR="000B7EC2" w:rsidRPr="00F53CE0">
        <w:rPr>
          <w:rFonts w:cstheme="minorHAnsi"/>
          <w:color w:val="222222"/>
        </w:rPr>
        <w:t>hich had</w:t>
      </w:r>
      <w:r w:rsidR="00D74AA4" w:rsidRPr="00F53CE0">
        <w:rPr>
          <w:rFonts w:cstheme="minorHAnsi"/>
          <w:color w:val="222222"/>
        </w:rPr>
        <w:t xml:space="preserve"> a </w:t>
      </w:r>
      <w:r w:rsidR="00221A7C">
        <w:rPr>
          <w:rFonts w:cstheme="minorHAnsi"/>
          <w:color w:val="222222"/>
        </w:rPr>
        <w:t xml:space="preserve">chronic </w:t>
      </w:r>
      <w:r w:rsidR="00D74AA4" w:rsidRPr="00F53CE0">
        <w:rPr>
          <w:rFonts w:cstheme="minorHAnsi"/>
          <w:color w:val="222222"/>
        </w:rPr>
        <w:t>28-</w:t>
      </w:r>
      <w:r w:rsidR="00221A7C">
        <w:rPr>
          <w:rFonts w:cstheme="minorHAnsi"/>
          <w:color w:val="222222"/>
        </w:rPr>
        <w:t xml:space="preserve">d </w:t>
      </w:r>
      <w:r w:rsidR="00D74AA4" w:rsidRPr="00F53CE0">
        <w:rPr>
          <w:rFonts w:cstheme="minorHAnsi"/>
          <w:color w:val="222222"/>
        </w:rPr>
        <w:t xml:space="preserve">LOEC of 0.005 µg/L. </w:t>
      </w:r>
    </w:p>
    <w:p w14:paraId="1EFC9767" w14:textId="5EAF7A23" w:rsidR="00E7592D" w:rsidRDefault="00B75665" w:rsidP="00E8209D">
      <w:r w:rsidRPr="00F53CE0">
        <w:t xml:space="preserve">The </w:t>
      </w:r>
      <w:r w:rsidR="00843288" w:rsidRPr="00F53CE0">
        <w:t xml:space="preserve">toxicity values </w:t>
      </w:r>
      <w:r w:rsidR="00843288">
        <w:t xml:space="preserve">for </w:t>
      </w:r>
      <w:r w:rsidRPr="00F53CE0">
        <w:t>non-arthropod</w:t>
      </w:r>
      <w:r w:rsidR="00843288">
        <w:t>s</w:t>
      </w:r>
      <w:r w:rsidRPr="00F53CE0">
        <w:t xml:space="preserve"> rang</w:t>
      </w:r>
      <w:r w:rsidR="00843288">
        <w:t>ed</w:t>
      </w:r>
      <w:r w:rsidRPr="00F53CE0">
        <w:t xml:space="preserve"> from 0.24</w:t>
      </w:r>
      <w:r w:rsidR="007553D5">
        <w:t> </w:t>
      </w:r>
      <w:r w:rsidR="00221A7C" w:rsidRPr="00F53CE0">
        <w:rPr>
          <w:rFonts w:cstheme="minorHAnsi"/>
        </w:rPr>
        <w:t>µ</w:t>
      </w:r>
      <w:r w:rsidR="00221A7C" w:rsidRPr="00F53CE0">
        <w:t xml:space="preserve">g/L </w:t>
      </w:r>
      <w:r w:rsidRPr="00F53CE0">
        <w:t xml:space="preserve">to </w:t>
      </w:r>
      <w:r w:rsidR="00F1038A">
        <w:t>770</w:t>
      </w:r>
      <w:r w:rsidR="007553D5">
        <w:t> </w:t>
      </w:r>
      <w:r w:rsidR="00FE44CB" w:rsidRPr="00F53CE0">
        <w:rPr>
          <w:rFonts w:cstheme="minorHAnsi"/>
        </w:rPr>
        <w:t>µ</w:t>
      </w:r>
      <w:r w:rsidR="00FE44CB" w:rsidRPr="00F53CE0">
        <w:t>g/L.</w:t>
      </w:r>
    </w:p>
    <w:p w14:paraId="1C22CF89" w14:textId="41D154D6" w:rsidR="00E7592D" w:rsidRDefault="00E7592D" w:rsidP="00843288">
      <w:pPr>
        <w:pStyle w:val="ListBullet"/>
      </w:pPr>
      <w:r>
        <w:t>Fish:</w:t>
      </w:r>
      <w:r w:rsidR="00FE44CB" w:rsidRPr="00F53CE0">
        <w:t xml:space="preserve"> </w:t>
      </w:r>
      <w:r w:rsidR="00843288">
        <w:t>t</w:t>
      </w:r>
      <w:r w:rsidR="00FE44CB" w:rsidRPr="00F53CE0">
        <w:t>oxicity</w:t>
      </w:r>
      <w:r w:rsidR="00FE44CB">
        <w:t xml:space="preserve"> </w:t>
      </w:r>
      <w:r w:rsidR="00221A7C">
        <w:t xml:space="preserve">values </w:t>
      </w:r>
      <w:r w:rsidR="00FE44CB">
        <w:t xml:space="preserve">ranged from </w:t>
      </w:r>
      <w:r w:rsidR="001C3BFC">
        <w:t xml:space="preserve">a </w:t>
      </w:r>
      <w:r w:rsidR="00221A7C">
        <w:t xml:space="preserve">chronic </w:t>
      </w:r>
      <w:r w:rsidR="00FE44CB">
        <w:t>32-d NOEL of 0.24 </w:t>
      </w:r>
      <w:r w:rsidR="00FE44CB">
        <w:rPr>
          <w:rFonts w:cstheme="minorHAnsi"/>
        </w:rPr>
        <w:t>µ</w:t>
      </w:r>
      <w:r w:rsidR="00FE44CB">
        <w:t xml:space="preserve">g/L </w:t>
      </w:r>
      <w:r w:rsidR="001C3BFC">
        <w:t>to a</w:t>
      </w:r>
      <w:r w:rsidR="00221A7C">
        <w:t>n acute</w:t>
      </w:r>
      <w:r w:rsidR="001C3BFC">
        <w:t xml:space="preserve"> 96-</w:t>
      </w:r>
      <w:r w:rsidR="00221A7C">
        <w:t xml:space="preserve">h </w:t>
      </w:r>
      <w:r w:rsidR="001C3BFC">
        <w:t>LC50 of 130 </w:t>
      </w:r>
      <w:r w:rsidR="001C3BFC">
        <w:rPr>
          <w:rFonts w:cstheme="minorHAnsi"/>
        </w:rPr>
        <w:t>µ</w:t>
      </w:r>
      <w:r w:rsidR="001C3BFC">
        <w:t xml:space="preserve">g/L, both for </w:t>
      </w:r>
      <w:r w:rsidR="00A96B6E">
        <w:t xml:space="preserve">the sheepshead minnow </w:t>
      </w:r>
      <w:r w:rsidR="001C3BFC" w:rsidRPr="00FE44CB">
        <w:rPr>
          <w:i/>
        </w:rPr>
        <w:t>Cyprinodon variegatus</w:t>
      </w:r>
      <w:r w:rsidR="001C3BFC">
        <w:t xml:space="preserve"> (USEPA 2015). </w:t>
      </w:r>
    </w:p>
    <w:p w14:paraId="20A889FC" w14:textId="0AB26D6C" w:rsidR="00E7592D" w:rsidRDefault="00E7592D" w:rsidP="00843288">
      <w:pPr>
        <w:pStyle w:val="ListBullet"/>
      </w:pPr>
      <w:r>
        <w:t xml:space="preserve">Bivalves: </w:t>
      </w:r>
      <w:r w:rsidR="006D749A">
        <w:t>t</w:t>
      </w:r>
      <w:r w:rsidR="001C3BFC">
        <w:t xml:space="preserve">oxicity </w:t>
      </w:r>
      <w:r w:rsidR="00A96B6E">
        <w:t xml:space="preserve">values </w:t>
      </w:r>
      <w:r w:rsidR="001C3BFC">
        <w:t>ranged from a</w:t>
      </w:r>
      <w:r w:rsidR="00A96B6E">
        <w:t>n acute</w:t>
      </w:r>
      <w:r w:rsidR="001C3BFC">
        <w:t xml:space="preserve"> 96-h LC50 of 177</w:t>
      </w:r>
      <w:r w:rsidR="007553D5">
        <w:t> </w:t>
      </w:r>
      <w:r w:rsidR="001C3BFC">
        <w:rPr>
          <w:rFonts w:cstheme="minorHAnsi"/>
        </w:rPr>
        <w:t>µ</w:t>
      </w:r>
      <w:r w:rsidR="001C3BFC">
        <w:t xml:space="preserve">g/L (Overmyer et al. 2007) </w:t>
      </w:r>
      <w:r w:rsidR="00372904">
        <w:t>for</w:t>
      </w:r>
      <w:r w:rsidR="00A96B6E">
        <w:t xml:space="preserve"> the clam</w:t>
      </w:r>
      <w:r w:rsidR="00372904">
        <w:t xml:space="preserve"> </w:t>
      </w:r>
      <w:r w:rsidR="00372904" w:rsidRPr="00621F06">
        <w:rPr>
          <w:i/>
          <w:iCs/>
        </w:rPr>
        <w:t>Mercenaria</w:t>
      </w:r>
      <w:r w:rsidR="00372904">
        <w:t xml:space="preserve"> </w:t>
      </w:r>
      <w:r w:rsidR="001C3BFC">
        <w:t>to a</w:t>
      </w:r>
      <w:r w:rsidR="00A96B6E">
        <w:t>n acute</w:t>
      </w:r>
      <w:r w:rsidR="001C3BFC">
        <w:t xml:space="preserve"> 96-h EC50 of 770 </w:t>
      </w:r>
      <w:r w:rsidR="001C3BFC">
        <w:rPr>
          <w:rFonts w:cstheme="minorHAnsi"/>
        </w:rPr>
        <w:t>µ</w:t>
      </w:r>
      <w:r w:rsidR="001C3BFC">
        <w:t>g/L for</w:t>
      </w:r>
      <w:r w:rsidR="00A96B6E">
        <w:t xml:space="preserve"> the oyster</w:t>
      </w:r>
      <w:r w:rsidR="001C3BFC">
        <w:t xml:space="preserve"> </w:t>
      </w:r>
      <w:r w:rsidR="001C3BFC" w:rsidRPr="001C3BFC">
        <w:rPr>
          <w:i/>
        </w:rPr>
        <w:t>Crassostrea virginica</w:t>
      </w:r>
      <w:r w:rsidR="001C3BFC">
        <w:t xml:space="preserve"> (USEPA 2015). </w:t>
      </w:r>
    </w:p>
    <w:p w14:paraId="4E0BFDD2" w14:textId="7A1C903D" w:rsidR="00E7592D" w:rsidRDefault="00E7592D" w:rsidP="00843288">
      <w:pPr>
        <w:pStyle w:val="ListBullet"/>
      </w:pPr>
      <w:r>
        <w:t xml:space="preserve">Microalgae: </w:t>
      </w:r>
      <w:r w:rsidR="0068044F">
        <w:t>t</w:t>
      </w:r>
      <w:r w:rsidR="00E63ACD">
        <w:t xml:space="preserve">oxicity values </w:t>
      </w:r>
      <w:r w:rsidR="00B75665">
        <w:t xml:space="preserve">ranged from </w:t>
      </w:r>
      <w:r w:rsidR="001C3BFC">
        <w:t xml:space="preserve">a </w:t>
      </w:r>
      <w:r w:rsidR="00E63ACD">
        <w:t xml:space="preserve">chronic </w:t>
      </w:r>
      <w:r w:rsidR="001C3BFC">
        <w:t xml:space="preserve">5-d NOEL of </w:t>
      </w:r>
      <w:r w:rsidR="00B75665">
        <w:t>140</w:t>
      </w:r>
      <w:r w:rsidR="001C3BFC">
        <w:t> </w:t>
      </w:r>
      <w:r w:rsidR="001C3BFC">
        <w:rPr>
          <w:rFonts w:cstheme="minorHAnsi"/>
        </w:rPr>
        <w:t>µ</w:t>
      </w:r>
      <w:r w:rsidR="001C3BFC">
        <w:t>g/L for</w:t>
      </w:r>
      <w:r w:rsidR="00261716">
        <w:t xml:space="preserve"> the diatom</w:t>
      </w:r>
      <w:r w:rsidR="001C3BFC">
        <w:t xml:space="preserve"> </w:t>
      </w:r>
      <w:r w:rsidR="001C3BFC" w:rsidRPr="001C3BFC">
        <w:rPr>
          <w:i/>
        </w:rPr>
        <w:t>Skeletonema costatum</w:t>
      </w:r>
      <w:r w:rsidR="00B75665">
        <w:t xml:space="preserve"> (USEPA 2015) to </w:t>
      </w:r>
      <w:r w:rsidR="001C3BFC">
        <w:t xml:space="preserve">a </w:t>
      </w:r>
      <w:r w:rsidR="00E63ACD">
        <w:t>chron</w:t>
      </w:r>
      <w:r w:rsidR="00E231D0">
        <w:t>i</w:t>
      </w:r>
      <w:r w:rsidR="00E63ACD">
        <w:t xml:space="preserve">c </w:t>
      </w:r>
      <w:r w:rsidR="001C3BFC">
        <w:t>96-h EC</w:t>
      </w:r>
      <w:r w:rsidR="00780003">
        <w:t>5</w:t>
      </w:r>
      <w:r w:rsidR="001C3BFC">
        <w:t xml:space="preserve">0 </w:t>
      </w:r>
      <w:r w:rsidR="001C3BFC" w:rsidRPr="0012271B">
        <w:t xml:space="preserve">of </w:t>
      </w:r>
      <w:r w:rsidR="00B75665" w:rsidRPr="001E48DD">
        <w:t>631 µg/L</w:t>
      </w:r>
      <w:r w:rsidR="00B23259">
        <w:t xml:space="preserve"> for</w:t>
      </w:r>
      <w:r w:rsidR="00261716">
        <w:t xml:space="preserve"> the green alga</w:t>
      </w:r>
      <w:r w:rsidR="00B23259">
        <w:t xml:space="preserve"> </w:t>
      </w:r>
      <w:r w:rsidR="00B23259" w:rsidRPr="00621F06">
        <w:rPr>
          <w:i/>
          <w:iCs/>
        </w:rPr>
        <w:t>Duneliella tertiolecta</w:t>
      </w:r>
      <w:r w:rsidR="00B75665" w:rsidRPr="001E48DD">
        <w:t xml:space="preserve"> (Overmyer et al. 2007).</w:t>
      </w:r>
      <w:r w:rsidR="00E63ACD">
        <w:t xml:space="preserve"> </w:t>
      </w:r>
    </w:p>
    <w:p w14:paraId="79F9932C" w14:textId="104EABB7" w:rsidR="00B9657F" w:rsidRDefault="00E7592D" w:rsidP="00843288">
      <w:pPr>
        <w:pStyle w:val="ListBullet"/>
      </w:pPr>
      <w:r>
        <w:t xml:space="preserve">Cnidarians: </w:t>
      </w:r>
      <w:r w:rsidR="00A35517">
        <w:t>t</w:t>
      </w:r>
      <w:r w:rsidR="00B23259">
        <w:t xml:space="preserve">oxicity </w:t>
      </w:r>
      <w:r w:rsidR="00E63ACD">
        <w:t xml:space="preserve">values </w:t>
      </w:r>
      <w:r w:rsidR="00B23259">
        <w:t xml:space="preserve">ranged from </w:t>
      </w:r>
      <w:r w:rsidR="000A109B">
        <w:t xml:space="preserve">a </w:t>
      </w:r>
      <w:r w:rsidR="00E63ACD">
        <w:t xml:space="preserve">chronic </w:t>
      </w:r>
      <w:r w:rsidR="000A109B">
        <w:t>48-h NOEC of 12.6</w:t>
      </w:r>
      <w:r w:rsidR="000A109B" w:rsidRPr="001E48DD">
        <w:t> µg/L</w:t>
      </w:r>
      <w:r w:rsidR="000A109B">
        <w:t xml:space="preserve"> to a</w:t>
      </w:r>
      <w:r w:rsidR="00E63ACD">
        <w:t xml:space="preserve"> chronic </w:t>
      </w:r>
      <w:r w:rsidR="000A109B">
        <w:t>48-h EC50 of 29.2</w:t>
      </w:r>
      <w:r w:rsidR="00F67035">
        <w:t> </w:t>
      </w:r>
      <w:r w:rsidR="000A109B" w:rsidRPr="001E48DD">
        <w:t>µg/L</w:t>
      </w:r>
      <w:r w:rsidR="00E63ACD">
        <w:t>,</w:t>
      </w:r>
      <w:r w:rsidR="000A109B">
        <w:t xml:space="preserve"> both for </w:t>
      </w:r>
      <w:r w:rsidR="00E63ACD">
        <w:t xml:space="preserve">the coral </w:t>
      </w:r>
      <w:r w:rsidR="000A109B" w:rsidRPr="00621F06">
        <w:rPr>
          <w:i/>
          <w:iCs/>
        </w:rPr>
        <w:t>Acropora tenuis</w:t>
      </w:r>
      <w:r w:rsidR="00E63ACD">
        <w:t xml:space="preserve"> </w:t>
      </w:r>
      <w:r w:rsidR="00F1038A">
        <w:t>(Negri et al.</w:t>
      </w:r>
      <w:r w:rsidR="00422C18">
        <w:t xml:space="preserve"> 2020</w:t>
      </w:r>
      <w:r w:rsidR="00422C18" w:rsidRPr="00AA2341">
        <w:t>)</w:t>
      </w:r>
      <w:r w:rsidR="000A109B" w:rsidRPr="00AA2341">
        <w:t>.</w:t>
      </w:r>
    </w:p>
    <w:p w14:paraId="615BE72E" w14:textId="2C66ACA2" w:rsidR="00575A08" w:rsidRDefault="00575A08" w:rsidP="00E8209D">
      <w:pPr>
        <w:pStyle w:val="Heading4"/>
      </w:pPr>
      <w:r w:rsidRPr="0012271B">
        <w:t>Freshwater data</w:t>
      </w:r>
    </w:p>
    <w:p w14:paraId="126C90EE" w14:textId="43E63231" w:rsidR="008D34F6" w:rsidRPr="004A71AF" w:rsidRDefault="008D34F6" w:rsidP="00E8209D">
      <w:r>
        <w:t xml:space="preserve">Freshwater data were needed to supplement the small marine toxicity dataset (see </w:t>
      </w:r>
      <w:r w:rsidR="00A51F8B">
        <w:t>Section </w:t>
      </w:r>
      <w:r w:rsidR="00A51F8B">
        <w:fldChar w:fldCharType="begin"/>
      </w:r>
      <w:r w:rsidR="00A51F8B">
        <w:instrText xml:space="preserve"> REF _Ref199342990 \r \h </w:instrText>
      </w:r>
      <w:r w:rsidR="00A51F8B">
        <w:fldChar w:fldCharType="separate"/>
      </w:r>
      <w:r w:rsidR="00BA1209">
        <w:t>4.1</w:t>
      </w:r>
      <w:r w:rsidR="00A51F8B">
        <w:fldChar w:fldCharType="end"/>
      </w:r>
      <w:r>
        <w:t>). T</w:t>
      </w:r>
      <w:r w:rsidR="00785F4D">
        <w:t xml:space="preserve">he sensitivity of </w:t>
      </w:r>
      <w:r>
        <w:t xml:space="preserve">freshwater </w:t>
      </w:r>
      <w:r w:rsidR="00785F4D">
        <w:t>arthropods</w:t>
      </w:r>
      <w:r>
        <w:t xml:space="preserve"> generally ranged over three orders of magnitude, from an acute 96-h NOEL of </w:t>
      </w:r>
      <w:r w:rsidR="00785F4D">
        <w:t>0.14 </w:t>
      </w:r>
      <w:r w:rsidR="00785F4D">
        <w:rPr>
          <w:rFonts w:cstheme="minorHAnsi"/>
        </w:rPr>
        <w:t>µ</w:t>
      </w:r>
      <w:r w:rsidR="00785F4D">
        <w:t xml:space="preserve">g/L for </w:t>
      </w:r>
      <w:r>
        <w:t xml:space="preserve">the mayfly </w:t>
      </w:r>
      <w:r w:rsidR="00785F4D" w:rsidRPr="00785F4D">
        <w:rPr>
          <w:i/>
          <w:iCs/>
        </w:rPr>
        <w:t>Hexagenia</w:t>
      </w:r>
      <w:r w:rsidR="00985C3C">
        <w:t> </w:t>
      </w:r>
      <w:r w:rsidR="00785F4D">
        <w:t xml:space="preserve">sp. </w:t>
      </w:r>
      <w:r w:rsidR="001E48DD">
        <w:t>(</w:t>
      </w:r>
      <w:r w:rsidR="00942993">
        <w:t>Weston and Lydy 2014</w:t>
      </w:r>
      <w:r w:rsidR="001E48DD">
        <w:t xml:space="preserve">) </w:t>
      </w:r>
      <w:r w:rsidR="00785F4D">
        <w:t>to</w:t>
      </w:r>
      <w:r>
        <w:t xml:space="preserve"> a</w:t>
      </w:r>
      <w:r w:rsidR="004A71AF">
        <w:t xml:space="preserve">n acute </w:t>
      </w:r>
      <w:r w:rsidR="00BA0203">
        <w:t xml:space="preserve">48-h </w:t>
      </w:r>
      <w:r w:rsidR="004A71AF">
        <w:t>EC50 of 190 </w:t>
      </w:r>
      <w:r w:rsidR="004A71AF">
        <w:rPr>
          <w:rFonts w:cstheme="minorHAnsi"/>
        </w:rPr>
        <w:t>µ</w:t>
      </w:r>
      <w:r w:rsidR="004A71AF">
        <w:t xml:space="preserve">g/L for </w:t>
      </w:r>
      <w:r w:rsidR="004A71AF" w:rsidRPr="004A71AF">
        <w:rPr>
          <w:i/>
        </w:rPr>
        <w:t>Daphnia magna</w:t>
      </w:r>
      <w:r w:rsidR="004A71AF">
        <w:t xml:space="preserve"> (USEPA 2015). </w:t>
      </w:r>
      <w:r w:rsidR="0018610A">
        <w:t>The exception</w:t>
      </w:r>
      <w:r>
        <w:t xml:space="preserve"> to this</w:t>
      </w:r>
      <w:r w:rsidR="0018610A">
        <w:t xml:space="preserve"> was </w:t>
      </w:r>
      <w:r>
        <w:t xml:space="preserve">an acute 48-h LC50 </w:t>
      </w:r>
      <w:r w:rsidR="00785F4D">
        <w:t>of 646</w:t>
      </w:r>
      <w:r w:rsidR="00583796">
        <w:t>.3</w:t>
      </w:r>
      <w:r w:rsidR="00785F4D">
        <w:t> </w:t>
      </w:r>
      <w:r w:rsidR="00785F4D">
        <w:rPr>
          <w:rFonts w:cstheme="minorHAnsi"/>
        </w:rPr>
        <w:t>µ</w:t>
      </w:r>
      <w:r w:rsidR="00785F4D">
        <w:t>g/L for</w:t>
      </w:r>
      <w:r>
        <w:t xml:space="preserve"> the midge</w:t>
      </w:r>
      <w:r w:rsidR="00785F4D">
        <w:t xml:space="preserve"> </w:t>
      </w:r>
      <w:r w:rsidR="00785F4D" w:rsidRPr="00785F4D">
        <w:rPr>
          <w:i/>
          <w:iCs/>
        </w:rPr>
        <w:t>Chaoborus crystallinus</w:t>
      </w:r>
      <w:r w:rsidR="000D6B20">
        <w:t xml:space="preserve"> (Chaton et al. 2002)</w:t>
      </w:r>
      <w:r w:rsidR="00785F4D">
        <w:t xml:space="preserve">, which was approximately </w:t>
      </w:r>
      <w:r w:rsidR="004A71AF">
        <w:t xml:space="preserve">3.5 </w:t>
      </w:r>
      <w:r w:rsidR="00785F4D">
        <w:t xml:space="preserve">times </w:t>
      </w:r>
      <w:r>
        <w:t>higher</w:t>
      </w:r>
      <w:r w:rsidR="00785F4D">
        <w:t xml:space="preserve"> than the next leas</w:t>
      </w:r>
      <w:r w:rsidR="004A71AF">
        <w:t>t</w:t>
      </w:r>
      <w:r w:rsidR="00785F4D">
        <w:t xml:space="preserve"> sensitive </w:t>
      </w:r>
      <w:r>
        <w:t>arthropod</w:t>
      </w:r>
      <w:r w:rsidR="004A71AF">
        <w:t xml:space="preserve"> (</w:t>
      </w:r>
      <w:r w:rsidR="004A71AF" w:rsidRPr="004A71AF">
        <w:rPr>
          <w:i/>
        </w:rPr>
        <w:t>D.</w:t>
      </w:r>
      <w:r w:rsidR="003B2199">
        <w:rPr>
          <w:i/>
        </w:rPr>
        <w:t> </w:t>
      </w:r>
      <w:r w:rsidR="004A71AF" w:rsidRPr="004A71AF">
        <w:rPr>
          <w:i/>
        </w:rPr>
        <w:t>magna</w:t>
      </w:r>
      <w:r w:rsidR="004A71AF">
        <w:t>)</w:t>
      </w:r>
      <w:r w:rsidR="00785F4D">
        <w:t xml:space="preserve">. </w:t>
      </w:r>
    </w:p>
    <w:p w14:paraId="0AE69958" w14:textId="6B956B52" w:rsidR="00E7592D" w:rsidRDefault="000D6B20" w:rsidP="00E8209D">
      <w:pPr>
        <w:rPr>
          <w:rFonts w:cstheme="minorHAnsi"/>
          <w:color w:val="000000"/>
          <w:lang w:val="en-GB"/>
        </w:rPr>
      </w:pPr>
      <w:r>
        <w:rPr>
          <w:rFonts w:cstheme="minorHAnsi"/>
          <w:color w:val="000000"/>
          <w:lang w:val="en-GB"/>
        </w:rPr>
        <w:t xml:space="preserve">The </w:t>
      </w:r>
      <w:r w:rsidR="00892383">
        <w:rPr>
          <w:rFonts w:cstheme="minorHAnsi"/>
          <w:color w:val="000000"/>
          <w:lang w:val="en-GB"/>
        </w:rPr>
        <w:t xml:space="preserve">toxicity values for </w:t>
      </w:r>
      <w:r>
        <w:rPr>
          <w:rFonts w:cstheme="minorHAnsi"/>
          <w:color w:val="000000"/>
          <w:lang w:val="en-GB"/>
        </w:rPr>
        <w:t>non-arthropod</w:t>
      </w:r>
      <w:r w:rsidR="00892383">
        <w:rPr>
          <w:rFonts w:cstheme="minorHAnsi"/>
          <w:color w:val="000000"/>
          <w:lang w:val="en-GB"/>
        </w:rPr>
        <w:t xml:space="preserve">s </w:t>
      </w:r>
      <w:r>
        <w:rPr>
          <w:rFonts w:cstheme="minorHAnsi"/>
          <w:color w:val="000000"/>
          <w:lang w:val="en-GB"/>
        </w:rPr>
        <w:t>rang</w:t>
      </w:r>
      <w:r w:rsidR="00892383">
        <w:rPr>
          <w:rFonts w:cstheme="minorHAnsi"/>
          <w:color w:val="000000"/>
          <w:lang w:val="en-GB"/>
        </w:rPr>
        <w:t>ed</w:t>
      </w:r>
      <w:r>
        <w:rPr>
          <w:rFonts w:cstheme="minorHAnsi"/>
          <w:color w:val="000000"/>
          <w:lang w:val="en-GB"/>
        </w:rPr>
        <w:t xml:space="preserve"> from 6.</w:t>
      </w:r>
      <w:r w:rsidR="004A71AF">
        <w:rPr>
          <w:rFonts w:cstheme="minorHAnsi"/>
          <w:color w:val="000000"/>
          <w:lang w:val="en-GB"/>
        </w:rPr>
        <w:t>7</w:t>
      </w:r>
      <w:r>
        <w:rPr>
          <w:rFonts w:cstheme="minorHAnsi"/>
          <w:color w:val="000000"/>
          <w:lang w:val="en-GB"/>
        </w:rPr>
        <w:t xml:space="preserve"> µg/L </w:t>
      </w:r>
      <w:r w:rsidR="00342EC3">
        <w:rPr>
          <w:rFonts w:cstheme="minorHAnsi"/>
          <w:color w:val="000000"/>
          <w:lang w:val="en-GB"/>
        </w:rPr>
        <w:t xml:space="preserve">to </w:t>
      </w:r>
      <w:r>
        <w:rPr>
          <w:rFonts w:cstheme="minorHAnsi"/>
          <w:color w:val="000000"/>
          <w:lang w:val="en-GB"/>
        </w:rPr>
        <w:t>5</w:t>
      </w:r>
      <w:r w:rsidR="006B5CC6">
        <w:rPr>
          <w:rFonts w:cstheme="minorHAnsi"/>
          <w:color w:val="000000"/>
          <w:lang w:val="en-GB"/>
        </w:rPr>
        <w:t> </w:t>
      </w:r>
      <w:r>
        <w:rPr>
          <w:rFonts w:cstheme="minorHAnsi"/>
          <w:color w:val="000000"/>
          <w:lang w:val="en-GB"/>
        </w:rPr>
        <w:t>000 µg/</w:t>
      </w:r>
      <w:r w:rsidR="008D34F6">
        <w:rPr>
          <w:rFonts w:cstheme="minorHAnsi"/>
          <w:color w:val="000000"/>
          <w:lang w:val="en-GB"/>
        </w:rPr>
        <w:t>L</w:t>
      </w:r>
      <w:r>
        <w:rPr>
          <w:rFonts w:cstheme="minorHAnsi"/>
          <w:color w:val="000000"/>
          <w:lang w:val="en-GB"/>
        </w:rPr>
        <w:t xml:space="preserve">. </w:t>
      </w:r>
    </w:p>
    <w:p w14:paraId="7D56C068" w14:textId="3DAAF228" w:rsidR="007E4A86" w:rsidRDefault="00892383" w:rsidP="00843288">
      <w:pPr>
        <w:pStyle w:val="ListBullet"/>
        <w:rPr>
          <w:lang w:val="en-GB"/>
        </w:rPr>
      </w:pPr>
      <w:r>
        <w:rPr>
          <w:lang w:val="en-GB"/>
        </w:rPr>
        <w:t>F</w:t>
      </w:r>
      <w:r w:rsidR="007E4A86">
        <w:rPr>
          <w:lang w:val="en-GB"/>
        </w:rPr>
        <w:t>ish</w:t>
      </w:r>
      <w:r>
        <w:rPr>
          <w:lang w:val="en-GB"/>
        </w:rPr>
        <w:t>:</w:t>
      </w:r>
      <w:r w:rsidR="007E4A86">
        <w:rPr>
          <w:lang w:val="en-GB"/>
        </w:rPr>
        <w:t xml:space="preserve"> </w:t>
      </w:r>
      <w:r>
        <w:rPr>
          <w:lang w:val="en-GB"/>
        </w:rPr>
        <w:t>t</w:t>
      </w:r>
      <w:r w:rsidR="00F625E0">
        <w:rPr>
          <w:lang w:val="en-GB"/>
        </w:rPr>
        <w:t xml:space="preserve">oxicity </w:t>
      </w:r>
      <w:r w:rsidR="008213AE">
        <w:rPr>
          <w:lang w:val="en-GB"/>
        </w:rPr>
        <w:t xml:space="preserve">values </w:t>
      </w:r>
      <w:r w:rsidR="00F625E0">
        <w:rPr>
          <w:lang w:val="en-GB"/>
        </w:rPr>
        <w:t xml:space="preserve">ranged from </w:t>
      </w:r>
      <w:r w:rsidR="00342EC3">
        <w:rPr>
          <w:lang w:val="en-GB"/>
        </w:rPr>
        <w:t xml:space="preserve">a </w:t>
      </w:r>
      <w:r w:rsidR="008D34F6">
        <w:rPr>
          <w:lang w:val="en-GB"/>
        </w:rPr>
        <w:t xml:space="preserve">chronic </w:t>
      </w:r>
      <w:r w:rsidR="00342EC3">
        <w:rPr>
          <w:lang w:val="en-GB"/>
        </w:rPr>
        <w:t>90-d NOEL</w:t>
      </w:r>
      <w:r w:rsidR="00D33A4A">
        <w:rPr>
          <w:lang w:val="en-GB"/>
        </w:rPr>
        <w:t xml:space="preserve"> </w:t>
      </w:r>
      <w:r w:rsidR="00342EC3">
        <w:rPr>
          <w:lang w:val="en-GB"/>
        </w:rPr>
        <w:t xml:space="preserve">of 6.6 µg/L for </w:t>
      </w:r>
      <w:r w:rsidR="00342EC3" w:rsidRPr="000D6B20">
        <w:rPr>
          <w:i/>
          <w:iCs/>
          <w:lang w:val="en-GB"/>
        </w:rPr>
        <w:t>Oncorhynchus mykiss</w:t>
      </w:r>
      <w:r w:rsidR="00342EC3">
        <w:rPr>
          <w:lang w:val="en-GB"/>
        </w:rPr>
        <w:t xml:space="preserve"> (USEPA 2015) to</w:t>
      </w:r>
      <w:r w:rsidR="008D34F6">
        <w:rPr>
          <w:lang w:val="en-GB"/>
        </w:rPr>
        <w:t xml:space="preserve"> an acute</w:t>
      </w:r>
      <w:r w:rsidR="00342EC3">
        <w:rPr>
          <w:lang w:val="en-GB"/>
        </w:rPr>
        <w:t xml:space="preserve"> 5-</w:t>
      </w:r>
      <w:r w:rsidR="008D34F6">
        <w:rPr>
          <w:lang w:val="en-GB"/>
        </w:rPr>
        <w:t xml:space="preserve">d </w:t>
      </w:r>
      <w:r w:rsidR="00342EC3">
        <w:rPr>
          <w:lang w:val="en-GB"/>
        </w:rPr>
        <w:t>LOEC of 5</w:t>
      </w:r>
      <w:r w:rsidR="00357AFF">
        <w:rPr>
          <w:lang w:val="en-GB"/>
        </w:rPr>
        <w:t> </w:t>
      </w:r>
      <w:r w:rsidR="00342EC3">
        <w:rPr>
          <w:lang w:val="en-GB"/>
        </w:rPr>
        <w:t xml:space="preserve">000 µg/L for </w:t>
      </w:r>
      <w:r w:rsidR="00342EC3" w:rsidRPr="00561FD5">
        <w:rPr>
          <w:i/>
          <w:iCs/>
          <w:lang w:val="en-GB"/>
        </w:rPr>
        <w:t>Danio rerio</w:t>
      </w:r>
      <w:r w:rsidR="00342EC3">
        <w:rPr>
          <w:lang w:val="en-GB"/>
        </w:rPr>
        <w:t xml:space="preserve"> (Stehr et al. 2006). </w:t>
      </w:r>
    </w:p>
    <w:p w14:paraId="6E6F1825" w14:textId="754CF782" w:rsidR="007E4A86" w:rsidRDefault="00D33A4A" w:rsidP="00843288">
      <w:pPr>
        <w:pStyle w:val="ListBullet"/>
        <w:rPr>
          <w:lang w:val="en-GB"/>
        </w:rPr>
      </w:pPr>
      <w:r>
        <w:rPr>
          <w:lang w:val="en-GB"/>
        </w:rPr>
        <w:t>M</w:t>
      </w:r>
      <w:r w:rsidR="007E4A86">
        <w:rPr>
          <w:lang w:val="en-GB"/>
        </w:rPr>
        <w:t>icroalgae</w:t>
      </w:r>
      <w:r>
        <w:rPr>
          <w:lang w:val="en-GB"/>
        </w:rPr>
        <w:t>:</w:t>
      </w:r>
      <w:r w:rsidR="007E4A86">
        <w:rPr>
          <w:lang w:val="en-GB"/>
        </w:rPr>
        <w:t xml:space="preserve"> </w:t>
      </w:r>
      <w:r>
        <w:rPr>
          <w:lang w:val="en-GB"/>
        </w:rPr>
        <w:t>t</w:t>
      </w:r>
      <w:r w:rsidR="00F625E0">
        <w:rPr>
          <w:lang w:val="en-GB"/>
        </w:rPr>
        <w:t xml:space="preserve">oxicity </w:t>
      </w:r>
      <w:r w:rsidR="008213AE">
        <w:rPr>
          <w:lang w:val="en-GB"/>
        </w:rPr>
        <w:t xml:space="preserve">values </w:t>
      </w:r>
      <w:r w:rsidR="00F625E0">
        <w:rPr>
          <w:lang w:val="en-GB"/>
        </w:rPr>
        <w:t xml:space="preserve">ranged from a </w:t>
      </w:r>
      <w:r w:rsidR="008D34F6">
        <w:rPr>
          <w:lang w:val="en-GB"/>
        </w:rPr>
        <w:t xml:space="preserve">chronic </w:t>
      </w:r>
      <w:r w:rsidR="00F625E0">
        <w:rPr>
          <w:lang w:val="en-GB"/>
        </w:rPr>
        <w:t xml:space="preserve">5-d NOEL of 120 µg/L for </w:t>
      </w:r>
      <w:r w:rsidR="00261716">
        <w:rPr>
          <w:lang w:val="en-GB"/>
        </w:rPr>
        <w:t xml:space="preserve">the diatom </w:t>
      </w:r>
      <w:r w:rsidR="00F625E0" w:rsidRPr="00F625E0">
        <w:rPr>
          <w:i/>
          <w:iCs/>
          <w:lang w:val="en-GB"/>
        </w:rPr>
        <w:t>Navicula pelliculosa</w:t>
      </w:r>
      <w:r w:rsidR="00F625E0">
        <w:rPr>
          <w:lang w:val="en-GB"/>
        </w:rPr>
        <w:t xml:space="preserve"> (USEPA 2015) to a</w:t>
      </w:r>
      <w:r w:rsidR="00261716">
        <w:rPr>
          <w:lang w:val="en-GB"/>
        </w:rPr>
        <w:t xml:space="preserve"> chronic</w:t>
      </w:r>
      <w:r w:rsidR="00F625E0">
        <w:rPr>
          <w:lang w:val="en-GB"/>
        </w:rPr>
        <w:t xml:space="preserve"> 72-h EC50 of 1</w:t>
      </w:r>
      <w:r w:rsidR="00F27195">
        <w:rPr>
          <w:lang w:val="en-GB"/>
        </w:rPr>
        <w:t> </w:t>
      </w:r>
      <w:r w:rsidR="00F625E0">
        <w:rPr>
          <w:lang w:val="en-GB"/>
        </w:rPr>
        <w:t xml:space="preserve">500 µg/L for </w:t>
      </w:r>
      <w:r w:rsidR="00261716">
        <w:rPr>
          <w:lang w:val="en-GB"/>
        </w:rPr>
        <w:t xml:space="preserve">the green alga </w:t>
      </w:r>
      <w:r w:rsidR="00F625E0" w:rsidRPr="00F625E0">
        <w:rPr>
          <w:i/>
          <w:iCs/>
          <w:lang w:val="en-GB"/>
        </w:rPr>
        <w:t>Scenedesmus obliquus</w:t>
      </w:r>
      <w:r w:rsidR="00F625E0">
        <w:rPr>
          <w:lang w:val="en-GB"/>
        </w:rPr>
        <w:t xml:space="preserve"> (Qu et al. 2014).</w:t>
      </w:r>
      <w:r w:rsidR="00723721">
        <w:rPr>
          <w:lang w:val="en-GB"/>
        </w:rPr>
        <w:t xml:space="preserve"> </w:t>
      </w:r>
    </w:p>
    <w:p w14:paraId="0AAA12B8" w14:textId="24C02354" w:rsidR="007E4A86" w:rsidRDefault="00D33A4A" w:rsidP="00843288">
      <w:pPr>
        <w:pStyle w:val="ListBullet"/>
        <w:rPr>
          <w:lang w:val="en-GB"/>
        </w:rPr>
      </w:pPr>
      <w:r>
        <w:rPr>
          <w:lang w:val="en-GB"/>
        </w:rPr>
        <w:lastRenderedPageBreak/>
        <w:t>A</w:t>
      </w:r>
      <w:r w:rsidR="007E4A86">
        <w:rPr>
          <w:lang w:val="en-GB"/>
        </w:rPr>
        <w:t>mphibian</w:t>
      </w:r>
      <w:r>
        <w:rPr>
          <w:lang w:val="en-GB"/>
        </w:rPr>
        <w:t>:</w:t>
      </w:r>
      <w:r w:rsidR="007E4A86">
        <w:rPr>
          <w:lang w:val="en-GB"/>
        </w:rPr>
        <w:t xml:space="preserve"> </w:t>
      </w:r>
      <w:r>
        <w:rPr>
          <w:lang w:val="en-GB"/>
        </w:rPr>
        <w:t>t</w:t>
      </w:r>
      <w:r w:rsidR="00D72118">
        <w:rPr>
          <w:lang w:val="en-GB"/>
        </w:rPr>
        <w:t xml:space="preserve">oxicity values for </w:t>
      </w:r>
      <w:r w:rsidR="008213AE" w:rsidRPr="00D72118">
        <w:rPr>
          <w:i/>
          <w:iCs/>
          <w:lang w:val="en-GB"/>
        </w:rPr>
        <w:t>Xenopus laevis</w:t>
      </w:r>
      <w:r w:rsidR="00D72118" w:rsidRPr="008213AE">
        <w:rPr>
          <w:lang w:val="en-GB"/>
        </w:rPr>
        <w:t xml:space="preserve"> </w:t>
      </w:r>
      <w:r w:rsidR="00D72118">
        <w:rPr>
          <w:lang w:val="en-GB"/>
        </w:rPr>
        <w:t>ranged from 850 µg/L to 1</w:t>
      </w:r>
      <w:r w:rsidR="00F27195">
        <w:rPr>
          <w:lang w:val="en-GB"/>
        </w:rPr>
        <w:t> </w:t>
      </w:r>
      <w:r w:rsidR="00D72118">
        <w:rPr>
          <w:lang w:val="en-GB"/>
        </w:rPr>
        <w:t>140 µg/L (</w:t>
      </w:r>
      <w:r w:rsidR="008213AE">
        <w:rPr>
          <w:lang w:val="en-GB"/>
        </w:rPr>
        <w:t xml:space="preserve">both acute </w:t>
      </w:r>
      <w:r w:rsidR="00D72118">
        <w:rPr>
          <w:lang w:val="en-GB"/>
        </w:rPr>
        <w:t>96-h LC50</w:t>
      </w:r>
      <w:r w:rsidR="008213AE">
        <w:rPr>
          <w:lang w:val="en-GB"/>
        </w:rPr>
        <w:t>s</w:t>
      </w:r>
      <w:r w:rsidR="00D72118">
        <w:rPr>
          <w:lang w:val="en-GB"/>
        </w:rPr>
        <w:t>) (Overmyer et al. 2007).</w:t>
      </w:r>
      <w:r w:rsidR="000068F8">
        <w:rPr>
          <w:lang w:val="en-GB"/>
        </w:rPr>
        <w:t xml:space="preserve"> </w:t>
      </w:r>
    </w:p>
    <w:p w14:paraId="604A94A8" w14:textId="064AA8EF" w:rsidR="001E48DD" w:rsidRDefault="00661E48" w:rsidP="00843288">
      <w:pPr>
        <w:pStyle w:val="ListBullet"/>
        <w:rPr>
          <w:lang w:val="en-GB"/>
        </w:rPr>
      </w:pPr>
      <w:r>
        <w:rPr>
          <w:lang w:val="en-GB"/>
        </w:rPr>
        <w:t>M</w:t>
      </w:r>
      <w:r w:rsidR="007E4A86">
        <w:rPr>
          <w:lang w:val="en-GB"/>
        </w:rPr>
        <w:t>acrophyte</w:t>
      </w:r>
      <w:r>
        <w:rPr>
          <w:lang w:val="en-GB"/>
        </w:rPr>
        <w:t>:</w:t>
      </w:r>
      <w:r w:rsidR="007E4A86">
        <w:rPr>
          <w:lang w:val="en-GB"/>
        </w:rPr>
        <w:t xml:space="preserve"> </w:t>
      </w:r>
      <w:r>
        <w:rPr>
          <w:lang w:val="en-GB"/>
        </w:rPr>
        <w:t>t</w:t>
      </w:r>
      <w:r w:rsidR="000068F8">
        <w:rPr>
          <w:lang w:val="en-GB"/>
        </w:rPr>
        <w:t>he toxicity value for</w:t>
      </w:r>
      <w:r w:rsidR="008213AE">
        <w:rPr>
          <w:lang w:val="en-GB"/>
        </w:rPr>
        <w:t xml:space="preserve"> </w:t>
      </w:r>
      <w:r w:rsidR="008213AE" w:rsidRPr="003C6742">
        <w:rPr>
          <w:i/>
          <w:iCs/>
          <w:lang w:val="en-GB"/>
        </w:rPr>
        <w:t>Lemna gibba</w:t>
      </w:r>
      <w:r w:rsidR="000068F8">
        <w:rPr>
          <w:lang w:val="en-GB"/>
        </w:rPr>
        <w:t xml:space="preserve"> was a</w:t>
      </w:r>
      <w:r w:rsidR="008213AE">
        <w:rPr>
          <w:lang w:val="en-GB"/>
        </w:rPr>
        <w:t>n acute</w:t>
      </w:r>
      <w:r w:rsidR="000068F8">
        <w:rPr>
          <w:lang w:val="en-GB"/>
        </w:rPr>
        <w:t xml:space="preserve"> 5-d NOEL of 100 µg/L (USEPA 2015).</w:t>
      </w:r>
    </w:p>
    <w:p w14:paraId="2861ED9D" w14:textId="77777777" w:rsidR="008F7426" w:rsidRPr="00E8209D" w:rsidRDefault="008F7426" w:rsidP="00E8209D">
      <w:pPr>
        <w:pStyle w:val="Heading2"/>
      </w:pPr>
      <w:bookmarkStart w:id="16" w:name="_Toc46327090"/>
      <w:bookmarkStart w:id="17" w:name="_Toc205549917"/>
      <w:r w:rsidRPr="00E8209D">
        <w:t>Factors affecting toxicity</w:t>
      </w:r>
      <w:bookmarkEnd w:id="16"/>
      <w:bookmarkEnd w:id="17"/>
    </w:p>
    <w:p w14:paraId="2CC16EC1" w14:textId="287F7405" w:rsidR="00724E64" w:rsidRDefault="00B75665" w:rsidP="00E8209D">
      <w:r w:rsidRPr="002B4354">
        <w:t xml:space="preserve">No factors </w:t>
      </w:r>
      <w:r w:rsidR="00893BA4">
        <w:t>that modify</w:t>
      </w:r>
      <w:r>
        <w:t xml:space="preserve"> the toxicity of fipronil</w:t>
      </w:r>
      <w:r w:rsidR="00893BA4">
        <w:t xml:space="preserve"> have been reported</w:t>
      </w:r>
      <w:r w:rsidRPr="002B4354">
        <w:t xml:space="preserve">. </w:t>
      </w:r>
    </w:p>
    <w:p w14:paraId="13C2A600" w14:textId="77777777" w:rsidR="008F7426" w:rsidRPr="00E8209D" w:rsidRDefault="008F7426" w:rsidP="00E8209D">
      <w:pPr>
        <w:pStyle w:val="Heading2"/>
      </w:pPr>
      <w:bookmarkStart w:id="18" w:name="_Toc46327091"/>
      <w:bookmarkStart w:id="19" w:name="_Toc205549918"/>
      <w:r w:rsidRPr="00E8209D">
        <w:t>Default guideline value derivation</w:t>
      </w:r>
      <w:bookmarkEnd w:id="18"/>
      <w:bookmarkEnd w:id="19"/>
    </w:p>
    <w:p w14:paraId="61DC505D" w14:textId="5B8BC6F6" w:rsidR="008A138A" w:rsidRDefault="008A138A" w:rsidP="00E8209D">
      <w:r w:rsidRPr="00DD5B59">
        <w:t xml:space="preserve">The DGVs were derived in accordance with the method described in Warne et al. (2018) and using </w:t>
      </w:r>
      <w:r>
        <w:t xml:space="preserve">the </w:t>
      </w:r>
      <w:r w:rsidRPr="00DD5B59">
        <w:t>Burrlioz 2.0 software.</w:t>
      </w:r>
    </w:p>
    <w:p w14:paraId="66F2117C" w14:textId="77777777" w:rsidR="008F7426" w:rsidRPr="00715B29" w:rsidRDefault="008F7426" w:rsidP="00715B29">
      <w:pPr>
        <w:pStyle w:val="Heading3"/>
      </w:pPr>
      <w:bookmarkStart w:id="20" w:name="_Toc46327092"/>
      <w:bookmarkStart w:id="21" w:name="_Ref199342990"/>
      <w:bookmarkStart w:id="22" w:name="_Ref199343026"/>
      <w:bookmarkStart w:id="23" w:name="_Toc205549919"/>
      <w:r w:rsidRPr="00715B29">
        <w:t>Toxicity data used in derivation</w:t>
      </w:r>
      <w:bookmarkEnd w:id="20"/>
      <w:bookmarkEnd w:id="21"/>
      <w:bookmarkEnd w:id="22"/>
      <w:bookmarkEnd w:id="23"/>
    </w:p>
    <w:p w14:paraId="6E290502" w14:textId="423BB0A5" w:rsidR="00ED728C" w:rsidRPr="00ED728C" w:rsidRDefault="00ED728C" w:rsidP="00715B29">
      <w:r w:rsidRPr="00ED728C">
        <w:t>To obtain data for fipronil</w:t>
      </w:r>
      <w:r w:rsidR="00165BD4">
        <w:t xml:space="preserve"> toxicity</w:t>
      </w:r>
      <w:r w:rsidRPr="00ED728C">
        <w:t xml:space="preserve"> to marine organisms, the scientific literature was </w:t>
      </w:r>
      <w:r w:rsidR="0028526A">
        <w:t>searched</w:t>
      </w:r>
      <w:r w:rsidRPr="00ED728C">
        <w:t xml:space="preserve">. </w:t>
      </w:r>
      <w:r w:rsidR="0028526A">
        <w:t>T</w:t>
      </w:r>
      <w:r w:rsidRPr="00ED728C">
        <w:t xml:space="preserve">he </w:t>
      </w:r>
      <w:r w:rsidR="00165BD4">
        <w:t xml:space="preserve">following </w:t>
      </w:r>
      <w:r w:rsidRPr="00ED728C">
        <w:t xml:space="preserve">databases </w:t>
      </w:r>
      <w:r w:rsidR="00165BD4">
        <w:t xml:space="preserve">were </w:t>
      </w:r>
      <w:r w:rsidR="0028526A">
        <w:t xml:space="preserve">also </w:t>
      </w:r>
      <w:r w:rsidR="00165BD4">
        <w:t xml:space="preserve">searched: </w:t>
      </w:r>
      <w:r w:rsidRPr="00ED728C">
        <w:t xml:space="preserve">ECOTOX </w:t>
      </w:r>
      <w:r w:rsidR="00165BD4" w:rsidRPr="00165BD4">
        <w:t xml:space="preserve">Knowledgebase </w:t>
      </w:r>
      <w:r w:rsidRPr="00ED728C">
        <w:t>(USEPA 2015)</w:t>
      </w:r>
      <w:r w:rsidR="00FC7B80">
        <w:t>;</w:t>
      </w:r>
      <w:r w:rsidRPr="00ED728C">
        <w:t xml:space="preserve"> Australasian Ecotoxicology Database (Warne et al. 1998)</w:t>
      </w:r>
      <w:r w:rsidR="00FC7B80">
        <w:t>;</w:t>
      </w:r>
      <w:r w:rsidRPr="00ED728C">
        <w:t xml:space="preserve"> and ANZECC</w:t>
      </w:r>
      <w:r w:rsidR="00B50B46">
        <w:t>/</w:t>
      </w:r>
      <w:r w:rsidRPr="00ED728C">
        <w:t xml:space="preserve">ARMCANZ (2000) </w:t>
      </w:r>
      <w:r w:rsidR="00FC7B80">
        <w:t xml:space="preserve">and </w:t>
      </w:r>
      <w:r w:rsidRPr="00ED728C">
        <w:t>(Sunderam et al. 2000)</w:t>
      </w:r>
      <w:r w:rsidR="00FC7B80">
        <w:t xml:space="preserve"> toxicant databases</w:t>
      </w:r>
      <w:r w:rsidRPr="00ED728C">
        <w:t xml:space="preserve">. There </w:t>
      </w:r>
      <w:r w:rsidR="00B50B46">
        <w:t>we</w:t>
      </w:r>
      <w:r w:rsidR="00B50B46" w:rsidRPr="00ED728C">
        <w:t xml:space="preserve">re </w:t>
      </w:r>
      <w:r w:rsidR="008A138A">
        <w:t>in</w:t>
      </w:r>
      <w:r w:rsidR="00D8444D">
        <w:t>sufficient</w:t>
      </w:r>
      <w:r w:rsidR="00D8444D" w:rsidRPr="00ED728C">
        <w:t xml:space="preserve"> </w:t>
      </w:r>
      <w:r w:rsidRPr="00ED728C">
        <w:t xml:space="preserve">fipronil toxicity data </w:t>
      </w:r>
      <w:r w:rsidR="00B50B46">
        <w:t xml:space="preserve">for marine species </w:t>
      </w:r>
      <w:r w:rsidR="00561AD2">
        <w:t>to</w:t>
      </w:r>
      <w:r w:rsidR="00561AD2" w:rsidRPr="00ED728C">
        <w:t xml:space="preserve"> </w:t>
      </w:r>
      <w:r w:rsidR="00FC7B80">
        <w:t xml:space="preserve">derive the </w:t>
      </w:r>
      <w:r w:rsidRPr="00ED728C">
        <w:t xml:space="preserve">DGVs. </w:t>
      </w:r>
      <w:r w:rsidR="0010525B">
        <w:t xml:space="preserve">Therefore, the marine species dataset </w:t>
      </w:r>
      <w:r w:rsidR="00DE408E">
        <w:t xml:space="preserve">was </w:t>
      </w:r>
      <w:r w:rsidR="0010525B">
        <w:t xml:space="preserve">supplemented with toxicity data for estuarine and freshwater species. </w:t>
      </w:r>
      <w:r w:rsidR="00A80304">
        <w:t>A comparison</w:t>
      </w:r>
      <w:r w:rsidR="00A86088">
        <w:t xml:space="preserve"> of the sensitivities of</w:t>
      </w:r>
      <w:r w:rsidR="00A80304">
        <w:t xml:space="preserve"> freshwater </w:t>
      </w:r>
      <w:r w:rsidR="00A86088">
        <w:t>and</w:t>
      </w:r>
      <w:r w:rsidR="00A80304">
        <w:t xml:space="preserve"> marine organisms in </w:t>
      </w:r>
      <w:r w:rsidR="004F2A0D">
        <w:fldChar w:fldCharType="begin"/>
      </w:r>
      <w:r w:rsidR="004F2A0D">
        <w:instrText xml:space="preserve"> REF _Ref199343367 \h  \* MERGEFORMAT </w:instrText>
      </w:r>
      <w:r w:rsidR="004F2A0D">
        <w:fldChar w:fldCharType="separate"/>
      </w:r>
      <w:r w:rsidR="00BA1209" w:rsidRPr="00BA1209">
        <w:t>Appendix B</w:t>
      </w:r>
      <w:r w:rsidR="00BA1209" w:rsidRPr="003C5047">
        <w:rPr>
          <w:sz w:val="52"/>
        </w:rPr>
        <w:t xml:space="preserve">: </w:t>
      </w:r>
      <w:r w:rsidR="00BA1209" w:rsidRPr="003C5047">
        <w:rPr>
          <w:rStyle w:val="Heading3Char"/>
          <w:b w:val="0"/>
          <w:sz w:val="52"/>
        </w:rPr>
        <w:t>Modality assessment for fipronil toxicity to aquatic species</w:t>
      </w:r>
      <w:r w:rsidR="004F2A0D">
        <w:fldChar w:fldCharType="end"/>
      </w:r>
      <w:r w:rsidR="00A80304">
        <w:t xml:space="preserve"> shows </w:t>
      </w:r>
      <w:r w:rsidR="00F52CF0">
        <w:t>no</w:t>
      </w:r>
      <w:r w:rsidR="00A80304">
        <w:t xml:space="preserve"> apparent </w:t>
      </w:r>
      <w:r w:rsidR="0065088F">
        <w:t>differences in sensitivity to fipronil</w:t>
      </w:r>
      <w:r w:rsidR="00F52CF0">
        <w:t xml:space="preserve"> between the two groups</w:t>
      </w:r>
      <w:r w:rsidRPr="00ED728C">
        <w:t>.</w:t>
      </w:r>
    </w:p>
    <w:p w14:paraId="36B1FF49" w14:textId="03101DCD" w:rsidR="00ED728C" w:rsidRPr="00ED728C" w:rsidRDefault="00E75CD8" w:rsidP="00E8209D">
      <w:r>
        <w:t>T</w:t>
      </w:r>
      <w:r w:rsidR="00ED728C" w:rsidRPr="00ED728C">
        <w:t xml:space="preserve">here were </w:t>
      </w:r>
      <w:r w:rsidR="006F4A40">
        <w:t xml:space="preserve">acute and chronic </w:t>
      </w:r>
      <w:r w:rsidR="00ED728C" w:rsidRPr="00ED728C">
        <w:t xml:space="preserve">toxicity data for nine marine </w:t>
      </w:r>
      <w:r w:rsidR="0028281E">
        <w:t xml:space="preserve">and estuarine </w:t>
      </w:r>
      <w:r w:rsidR="00ED728C" w:rsidRPr="00ED728C">
        <w:t>species (</w:t>
      </w:r>
      <w:r w:rsidR="00392488">
        <w:t>six</w:t>
      </w:r>
      <w:r w:rsidR="00ED728C" w:rsidRPr="00ED728C">
        <w:t xml:space="preserve"> phyla and </w:t>
      </w:r>
      <w:r w:rsidR="00392488">
        <w:t>seven</w:t>
      </w:r>
      <w:r w:rsidR="00ED728C" w:rsidRPr="00ED728C">
        <w:t xml:space="preserve"> classes) that passed the screening and quality assessment processes. The represented phyla were Arthropoda, </w:t>
      </w:r>
      <w:r w:rsidR="00392488">
        <w:t xml:space="preserve">Bacillariophyta, </w:t>
      </w:r>
      <w:r w:rsidR="00ED728C" w:rsidRPr="00ED728C">
        <w:t xml:space="preserve">Chlorophyta, Chordata, Cnidaria and Mollusca. The </w:t>
      </w:r>
      <w:r w:rsidR="008A138A">
        <w:t>s</w:t>
      </w:r>
      <w:r w:rsidR="00392488">
        <w:t>even</w:t>
      </w:r>
      <w:r w:rsidR="008A138A" w:rsidRPr="00ED728C">
        <w:t xml:space="preserve"> </w:t>
      </w:r>
      <w:r w:rsidR="00ED728C" w:rsidRPr="00ED728C">
        <w:t>classes were Actinopterygii (which accounts for approximately 99% of fish), Anthozoa (class of marine invertebrates), Bivalvia (group of molluscs), Chlorophyceae (major group of green algae), Malacostraca (large group of crustaceans)</w:t>
      </w:r>
      <w:r w:rsidR="00392488">
        <w:t>, Mediophyceae (class of diatoms)</w:t>
      </w:r>
      <w:r w:rsidR="00ED728C" w:rsidRPr="00ED728C">
        <w:t xml:space="preserve"> and Maxillopoda (large group of crustaceans).</w:t>
      </w:r>
      <w:r w:rsidR="00EC5953">
        <w:t xml:space="preserve"> Chronic toxicity data were available for </w:t>
      </w:r>
      <w:r w:rsidR="00A84BD1">
        <w:t xml:space="preserve">seven </w:t>
      </w:r>
      <w:r w:rsidR="00EC5953">
        <w:t xml:space="preserve">of the </w:t>
      </w:r>
      <w:r w:rsidR="00A84BD1">
        <w:t>nine</w:t>
      </w:r>
      <w:r w:rsidR="00390C71">
        <w:t xml:space="preserve"> </w:t>
      </w:r>
      <w:r w:rsidR="00EC5953">
        <w:t xml:space="preserve">species, comprising </w:t>
      </w:r>
      <w:r w:rsidR="00390C71">
        <w:t>three</w:t>
      </w:r>
      <w:r w:rsidR="00EC5953">
        <w:t xml:space="preserve"> </w:t>
      </w:r>
      <w:r w:rsidR="00D217BC">
        <w:t>arthropod</w:t>
      </w:r>
      <w:r w:rsidR="002E1C0C">
        <w:t>s</w:t>
      </w:r>
      <w:r w:rsidR="00EC5953">
        <w:t xml:space="preserve"> and </w:t>
      </w:r>
      <w:r w:rsidR="00A84BD1">
        <w:t>four</w:t>
      </w:r>
      <w:r w:rsidR="00EC5953">
        <w:t xml:space="preserve"> </w:t>
      </w:r>
      <w:r w:rsidR="00D217BC">
        <w:t>non-arthropod</w:t>
      </w:r>
      <w:r w:rsidR="002E1C0C">
        <w:t>s;</w:t>
      </w:r>
      <w:r w:rsidR="00EC5953">
        <w:t xml:space="preserve"> acute toxicity data were available for </w:t>
      </w:r>
      <w:r w:rsidR="0067514E">
        <w:t xml:space="preserve">six </w:t>
      </w:r>
      <w:r w:rsidR="00667B7F">
        <w:t xml:space="preserve">of the nine </w:t>
      </w:r>
      <w:r w:rsidR="00EC5953">
        <w:t xml:space="preserve">species, comprising </w:t>
      </w:r>
      <w:r w:rsidR="00390C71">
        <w:t>t</w:t>
      </w:r>
      <w:r w:rsidR="00D6186B">
        <w:t>hree</w:t>
      </w:r>
      <w:r w:rsidR="00EC5953">
        <w:t xml:space="preserve"> </w:t>
      </w:r>
      <w:r w:rsidR="00D217BC">
        <w:t>arthropod</w:t>
      </w:r>
      <w:r w:rsidR="002E1C0C">
        <w:t>s</w:t>
      </w:r>
      <w:r w:rsidR="00EC5953">
        <w:t xml:space="preserve"> and </w:t>
      </w:r>
      <w:r w:rsidR="00390C71">
        <w:t>three</w:t>
      </w:r>
      <w:r w:rsidR="00EC5953">
        <w:t xml:space="preserve"> </w:t>
      </w:r>
      <w:r w:rsidR="00D217BC">
        <w:t>non-arthropod</w:t>
      </w:r>
      <w:r w:rsidR="002E1C0C">
        <w:t>s</w:t>
      </w:r>
      <w:r w:rsidR="00EC5953">
        <w:t>.</w:t>
      </w:r>
    </w:p>
    <w:p w14:paraId="659B5A2D" w14:textId="38438FE3" w:rsidR="00ED728C" w:rsidRDefault="00ED728C" w:rsidP="00715B29">
      <w:r>
        <w:t xml:space="preserve">Normally, species classified </w:t>
      </w:r>
      <w:r w:rsidR="002906F7">
        <w:t xml:space="preserve">to </w:t>
      </w:r>
      <w:r>
        <w:t xml:space="preserve">genus </w:t>
      </w:r>
      <w:r w:rsidR="001D6BAA">
        <w:t xml:space="preserve">only </w:t>
      </w:r>
      <w:r>
        <w:t xml:space="preserve">(e.g. </w:t>
      </w:r>
      <w:r w:rsidR="00C952E4" w:rsidRPr="00C952E4">
        <w:rPr>
          <w:i/>
          <w:iCs/>
        </w:rPr>
        <w:t>Hexagenia</w:t>
      </w:r>
      <w:r>
        <w:t xml:space="preserve"> sp.) are not used in the DGV derivation, as ambiguity at the genus level could result in more than one toxicity value being </w:t>
      </w:r>
      <w:r w:rsidRPr="006C735A">
        <w:t xml:space="preserve">assigned to a </w:t>
      </w:r>
      <w:r w:rsidRPr="00567165">
        <w:t xml:space="preserve">single species. However, visual identification and classification of species within a genus, particularly for microalgae, can be difficult for some genera due to their lack of characteristic morphological features (Kessler and Huss 1992). </w:t>
      </w:r>
      <w:r w:rsidR="00C35F3F">
        <w:t>W</w:t>
      </w:r>
      <w:r w:rsidRPr="00567165">
        <w:t xml:space="preserve">hen there </w:t>
      </w:r>
      <w:r w:rsidR="009C7074">
        <w:t>are</w:t>
      </w:r>
      <w:r w:rsidR="009C7074" w:rsidRPr="00567165">
        <w:t xml:space="preserve"> </w:t>
      </w:r>
      <w:r w:rsidRPr="00567165">
        <w:t>no other data for species belonging to the same genus (i.e. there is no chance of duplicating</w:t>
      </w:r>
      <w:r w:rsidRPr="006C735A">
        <w:t xml:space="preserve"> a species) and/or when there are limited toxicity data available, </w:t>
      </w:r>
      <w:r w:rsidR="00C35F3F">
        <w:lastRenderedPageBreak/>
        <w:t xml:space="preserve">genus level </w:t>
      </w:r>
      <w:r w:rsidR="005E4B80">
        <w:t xml:space="preserve">toxicity </w:t>
      </w:r>
      <w:r w:rsidR="00C35F3F">
        <w:t>data can</w:t>
      </w:r>
      <w:r w:rsidRPr="006C735A">
        <w:t xml:space="preserve"> be included in the </w:t>
      </w:r>
      <w:r w:rsidR="002906F7">
        <w:t xml:space="preserve">DGV </w:t>
      </w:r>
      <w:r w:rsidRPr="006C735A">
        <w:t xml:space="preserve">derivation. </w:t>
      </w:r>
      <w:r w:rsidR="008165CE">
        <w:t>Ther</w:t>
      </w:r>
      <w:r w:rsidR="007E3494">
        <w:t>e</w:t>
      </w:r>
      <w:r w:rsidR="008165CE">
        <w:t>fore, i</w:t>
      </w:r>
      <w:r w:rsidR="008165CE" w:rsidRPr="006C735A">
        <w:t xml:space="preserve">n </w:t>
      </w:r>
      <w:r w:rsidRPr="006C735A">
        <w:t xml:space="preserve">deriving the </w:t>
      </w:r>
      <w:r>
        <w:t>D</w:t>
      </w:r>
      <w:r w:rsidRPr="006C735A">
        <w:t xml:space="preserve">GVs for </w:t>
      </w:r>
      <w:r>
        <w:t>fipronil</w:t>
      </w:r>
      <w:r w:rsidRPr="006C735A">
        <w:t xml:space="preserve"> in </w:t>
      </w:r>
      <w:r>
        <w:t xml:space="preserve">marine </w:t>
      </w:r>
      <w:r w:rsidRPr="006C735A">
        <w:t xml:space="preserve">water, </w:t>
      </w:r>
      <w:r w:rsidR="009C7074">
        <w:t xml:space="preserve">data for </w:t>
      </w:r>
      <w:r w:rsidRPr="00ED728C">
        <w:rPr>
          <w:i/>
        </w:rPr>
        <w:t>Hexagenia</w:t>
      </w:r>
      <w:r w:rsidRPr="00BB6B91">
        <w:t xml:space="preserve"> sp.</w:t>
      </w:r>
      <w:r>
        <w:t xml:space="preserve"> </w:t>
      </w:r>
      <w:r w:rsidR="00D31CC5">
        <w:t xml:space="preserve">were </w:t>
      </w:r>
      <w:r w:rsidRPr="009A5127">
        <w:t xml:space="preserve">included as no other toxicity data for </w:t>
      </w:r>
      <w:r>
        <w:t>this</w:t>
      </w:r>
      <w:r w:rsidRPr="009A5127">
        <w:t xml:space="preserve"> </w:t>
      </w:r>
      <w:r w:rsidR="00C35F3F">
        <w:t xml:space="preserve">genus </w:t>
      </w:r>
      <w:r>
        <w:t>w</w:t>
      </w:r>
      <w:r w:rsidR="009C7074">
        <w:t>ere</w:t>
      </w:r>
      <w:r>
        <w:t xml:space="preserve"> </w:t>
      </w:r>
      <w:r w:rsidR="00C35F3F">
        <w:t>available</w:t>
      </w:r>
      <w:r>
        <w:t>.</w:t>
      </w:r>
    </w:p>
    <w:p w14:paraId="13DF5534" w14:textId="6BD06C1D" w:rsidR="00ED728C" w:rsidRPr="00074EB9" w:rsidRDefault="00ED728C" w:rsidP="00E8209D">
      <w:r>
        <w:t>Based on the mode of action of fipronil (Section</w:t>
      </w:r>
      <w:r w:rsidR="00EE29A7">
        <w:t> </w:t>
      </w:r>
      <w:r w:rsidR="00EE29A7">
        <w:fldChar w:fldCharType="begin"/>
      </w:r>
      <w:r w:rsidR="00EE29A7">
        <w:instrText xml:space="preserve"> REF _Ref199343010 \r \h </w:instrText>
      </w:r>
      <w:r w:rsidR="00A06A4D">
        <w:instrText xml:space="preserve"> \* MERGEFORMAT </w:instrText>
      </w:r>
      <w:r w:rsidR="00EE29A7">
        <w:fldChar w:fldCharType="separate"/>
      </w:r>
      <w:r w:rsidR="00BA1209">
        <w:t>2</w:t>
      </w:r>
      <w:r w:rsidR="00EE29A7">
        <w:fldChar w:fldCharType="end"/>
      </w:r>
      <w:r>
        <w:t xml:space="preserve">), </w:t>
      </w:r>
      <w:r w:rsidRPr="00BA7550">
        <w:t xml:space="preserve">arthropods </w:t>
      </w:r>
      <w:r w:rsidR="0069129C">
        <w:t>are</w:t>
      </w:r>
      <w:r w:rsidRPr="00BA7550">
        <w:t xml:space="preserve"> </w:t>
      </w:r>
      <w:r w:rsidR="008D73AA">
        <w:t xml:space="preserve">considered </w:t>
      </w:r>
      <w:r w:rsidRPr="00BA7550">
        <w:t xml:space="preserve">more sensitive </w:t>
      </w:r>
      <w:r w:rsidR="0069129C">
        <w:t xml:space="preserve">to fipronil </w:t>
      </w:r>
      <w:r w:rsidRPr="00BA7550">
        <w:t>than other organisms.</w:t>
      </w:r>
      <w:r w:rsidR="00462881">
        <w:t xml:space="preserve"> A</w:t>
      </w:r>
      <w:r>
        <w:t xml:space="preserve"> modality assessment of the fipronil toxicity data</w:t>
      </w:r>
      <w:r w:rsidR="009C7074">
        <w:t>set</w:t>
      </w:r>
      <w:r>
        <w:t xml:space="preserve"> </w:t>
      </w:r>
      <w:r w:rsidR="00462881">
        <w:t>(</w:t>
      </w:r>
      <w:r w:rsidR="009C7074">
        <w:t>includ</w:t>
      </w:r>
      <w:r w:rsidR="00462881">
        <w:t>ing freshwater, marine and estuarine</w:t>
      </w:r>
      <w:r w:rsidRPr="00A40CF0">
        <w:t xml:space="preserve"> arthropod and non-arthropod</w:t>
      </w:r>
      <w:r w:rsidR="00462881">
        <w:t xml:space="preserve"> data</w:t>
      </w:r>
      <w:r>
        <w:t>) was undertaken according to the weight of evidence approach described by Warne et al. (2018)</w:t>
      </w:r>
      <w:r w:rsidR="009C7074">
        <w:t xml:space="preserve"> (</w:t>
      </w:r>
      <w:r w:rsidR="00A06A4D">
        <w:fldChar w:fldCharType="begin"/>
      </w:r>
      <w:r w:rsidR="00A06A4D">
        <w:instrText xml:space="preserve"> REF _Ref199343429 \h  \* MERGEFORMAT </w:instrText>
      </w:r>
      <w:r w:rsidR="00A06A4D">
        <w:fldChar w:fldCharType="separate"/>
      </w:r>
      <w:r w:rsidR="00BA1209" w:rsidRPr="00BA1209">
        <w:t>Appendix B</w:t>
      </w:r>
      <w:r w:rsidR="00BA1209" w:rsidRPr="003C5047">
        <w:rPr>
          <w:sz w:val="52"/>
        </w:rPr>
        <w:t xml:space="preserve">: </w:t>
      </w:r>
      <w:r w:rsidR="00BA1209" w:rsidRPr="003C5047">
        <w:rPr>
          <w:rStyle w:val="Heading3Char"/>
          <w:b w:val="0"/>
          <w:sz w:val="52"/>
        </w:rPr>
        <w:t>Modality assessment for fipronil toxicity to aquatic species</w:t>
      </w:r>
      <w:r w:rsidR="00A06A4D">
        <w:fldChar w:fldCharType="end"/>
      </w:r>
      <w:r w:rsidR="009C7074">
        <w:t>)</w:t>
      </w:r>
      <w:r>
        <w:t>.</w:t>
      </w:r>
      <w:r w:rsidRPr="001A3FFE">
        <w:t xml:space="preserve"> </w:t>
      </w:r>
      <w:r w:rsidR="00787CC9">
        <w:t>Most</w:t>
      </w:r>
      <w:r>
        <w:t xml:space="preserve"> lines of evidence </w:t>
      </w:r>
      <w:r w:rsidR="0032547F">
        <w:t>suggest</w:t>
      </w:r>
      <w:r>
        <w:t xml:space="preserve"> that the distribution of </w:t>
      </w:r>
      <w:r w:rsidR="009C7074">
        <w:t xml:space="preserve">the fipronil </w:t>
      </w:r>
      <w:r>
        <w:t xml:space="preserve">toxicity data is bimodal. Therefore, as recommended by Warne et al. (2018), only the toxicity data for the more sensitive group of organisms (in this case, arthropods) were used to </w:t>
      </w:r>
      <w:r w:rsidR="00C35F3F">
        <w:t xml:space="preserve">derive </w:t>
      </w:r>
      <w:r>
        <w:t>the DGVs.</w:t>
      </w:r>
    </w:p>
    <w:p w14:paraId="79D47218" w14:textId="7EE90C53" w:rsidR="00ED728C" w:rsidRPr="00F41561" w:rsidRDefault="0006231D" w:rsidP="00715B29">
      <w:r>
        <w:t xml:space="preserve">The </w:t>
      </w:r>
      <w:r w:rsidR="007853F7">
        <w:t xml:space="preserve">marine </w:t>
      </w:r>
      <w:r>
        <w:t xml:space="preserve">dataset of </w:t>
      </w:r>
      <w:r w:rsidRPr="00ED728C">
        <w:t>the most sensitive group of organisms (</w:t>
      </w:r>
      <w:r>
        <w:t xml:space="preserve">i.e. arthropods) </w:t>
      </w:r>
      <w:r w:rsidR="00592E4E">
        <w:t xml:space="preserve">consisted of data for </w:t>
      </w:r>
      <w:r w:rsidR="003D1ADA">
        <w:t>one</w:t>
      </w:r>
      <w:r w:rsidR="00592E4E">
        <w:t xml:space="preserve"> species</w:t>
      </w:r>
      <w:r w:rsidR="00A90DAA">
        <w:t xml:space="preserve">; this does </w:t>
      </w:r>
      <w:r>
        <w:t xml:space="preserve">not meet the minimum data </w:t>
      </w:r>
      <w:r w:rsidRPr="00ED728C">
        <w:t xml:space="preserve">requirements (i.e. at least five species </w:t>
      </w:r>
      <w:r w:rsidR="00D152F8">
        <w:t>from</w:t>
      </w:r>
      <w:r w:rsidRPr="00ED728C">
        <w:t xml:space="preserve"> at least four phyla) </w:t>
      </w:r>
      <w:r w:rsidR="00A90DAA">
        <w:t>of</w:t>
      </w:r>
      <w:r>
        <w:t xml:space="preserve"> Warne et al. </w:t>
      </w:r>
      <w:r w:rsidR="00A90DAA">
        <w:t>(</w:t>
      </w:r>
      <w:r>
        <w:t xml:space="preserve">2018). </w:t>
      </w:r>
      <w:r w:rsidR="005043F4">
        <w:t xml:space="preserve">Adding </w:t>
      </w:r>
      <w:r w:rsidR="000A41AA">
        <w:t>the</w:t>
      </w:r>
      <w:r w:rsidR="003D1ADA">
        <w:t xml:space="preserve"> toxicity data for the</w:t>
      </w:r>
      <w:r w:rsidR="000A41AA">
        <w:t xml:space="preserve"> </w:t>
      </w:r>
      <w:r w:rsidR="005043F4">
        <w:t xml:space="preserve">two </w:t>
      </w:r>
      <w:r w:rsidR="000A41AA">
        <w:t xml:space="preserve">estuarine arthropod species </w:t>
      </w:r>
      <w:r w:rsidR="005043F4">
        <w:t>still</w:t>
      </w:r>
      <w:r w:rsidR="005043F4" w:rsidRPr="005043F4">
        <w:t xml:space="preserve"> </w:t>
      </w:r>
      <w:r w:rsidR="005043F4">
        <w:t xml:space="preserve">did not meet the minimum data </w:t>
      </w:r>
      <w:r w:rsidR="005043F4" w:rsidRPr="00ED728C">
        <w:t>requirements</w:t>
      </w:r>
      <w:r w:rsidR="000A41AA">
        <w:t xml:space="preserve">. </w:t>
      </w:r>
      <w:r w:rsidR="00B054AD">
        <w:t>Therefore,</w:t>
      </w:r>
      <w:r w:rsidR="00F41561">
        <w:t xml:space="preserve"> a dataset of marine</w:t>
      </w:r>
      <w:r w:rsidR="0028281E">
        <w:t>, estuarine</w:t>
      </w:r>
      <w:r w:rsidR="00F41561">
        <w:t xml:space="preserve"> and freshwater arthropod species was </w:t>
      </w:r>
      <w:r w:rsidR="00572111">
        <w:t>assessed</w:t>
      </w:r>
      <w:r w:rsidR="00F41561">
        <w:t xml:space="preserve">. </w:t>
      </w:r>
      <w:r w:rsidR="00ED728C" w:rsidRPr="00ED728C">
        <w:t xml:space="preserve">This </w:t>
      </w:r>
      <w:r w:rsidR="00997287">
        <w:t xml:space="preserve">final </w:t>
      </w:r>
      <w:r w:rsidR="00ED728C" w:rsidRPr="00ED728C">
        <w:t xml:space="preserve">dataset </w:t>
      </w:r>
      <w:r w:rsidR="004A0F8B">
        <w:t xml:space="preserve">consisted of </w:t>
      </w:r>
      <w:r w:rsidR="00F41561">
        <w:t xml:space="preserve">chronic, chronic estimated and converted acute values for </w:t>
      </w:r>
      <w:r w:rsidR="00ED728C" w:rsidRPr="00ED728C">
        <w:t>24</w:t>
      </w:r>
      <w:r w:rsidR="00D152F8">
        <w:t> </w:t>
      </w:r>
      <w:r w:rsidR="004A0F8B">
        <w:t>arthropod</w:t>
      </w:r>
      <w:r w:rsidR="00D152F8">
        <w:t>s</w:t>
      </w:r>
      <w:r w:rsidR="00ED728C" w:rsidRPr="00ED728C">
        <w:t xml:space="preserve"> (</w:t>
      </w:r>
      <w:r w:rsidR="0028281E">
        <w:t>one</w:t>
      </w:r>
      <w:r w:rsidR="0028281E" w:rsidRPr="00ED728C">
        <w:t xml:space="preserve"> </w:t>
      </w:r>
      <w:r w:rsidR="00ED728C" w:rsidRPr="00ED728C">
        <w:t>marine</w:t>
      </w:r>
      <w:r w:rsidR="0028281E">
        <w:t>, two estuarine</w:t>
      </w:r>
      <w:r w:rsidR="00D152F8">
        <w:t>,</w:t>
      </w:r>
      <w:r w:rsidR="00ED728C" w:rsidRPr="00ED728C">
        <w:t xml:space="preserve"> </w:t>
      </w:r>
      <w:r w:rsidR="00ED728C" w:rsidRPr="00EA4BE2">
        <w:rPr>
          <w:rFonts w:cstheme="minorHAnsi"/>
        </w:rPr>
        <w:t>21</w:t>
      </w:r>
      <w:r w:rsidR="00D152F8">
        <w:rPr>
          <w:rFonts w:cstheme="minorHAnsi"/>
        </w:rPr>
        <w:t> </w:t>
      </w:r>
      <w:r w:rsidR="00ED728C" w:rsidRPr="00EA4BE2">
        <w:rPr>
          <w:rFonts w:cstheme="minorHAnsi"/>
        </w:rPr>
        <w:t>freshwater)</w:t>
      </w:r>
      <w:r w:rsidR="005E568F">
        <w:rPr>
          <w:rFonts w:cstheme="minorHAnsi"/>
        </w:rPr>
        <w:t>.</w:t>
      </w:r>
      <w:r w:rsidR="00935637" w:rsidRPr="00EA4BE2">
        <w:rPr>
          <w:rFonts w:cstheme="minorHAnsi"/>
        </w:rPr>
        <w:t xml:space="preserve"> </w:t>
      </w:r>
    </w:p>
    <w:p w14:paraId="6B2A96DD" w14:textId="1413B9BA" w:rsidR="00DF54B7" w:rsidRDefault="00DF54B7" w:rsidP="0006572D">
      <w:r w:rsidRPr="00364F08">
        <w:t xml:space="preserve">For </w:t>
      </w:r>
      <w:r w:rsidRPr="00364F08">
        <w:rPr>
          <w:i/>
          <w:iCs/>
        </w:rPr>
        <w:t>C</w:t>
      </w:r>
      <w:r>
        <w:rPr>
          <w:i/>
          <w:iCs/>
        </w:rPr>
        <w:t>.</w:t>
      </w:r>
      <w:r w:rsidR="00715B29">
        <w:rPr>
          <w:i/>
          <w:iCs/>
        </w:rPr>
        <w:t> </w:t>
      </w:r>
      <w:r w:rsidRPr="00364F08">
        <w:rPr>
          <w:i/>
          <w:iCs/>
        </w:rPr>
        <w:t>dubia</w:t>
      </w:r>
      <w:r w:rsidRPr="00364F08">
        <w:t>, Wilson et al. (2008) determined NOEC</w:t>
      </w:r>
      <w:r w:rsidR="00530FF8">
        <w:t>s</w:t>
      </w:r>
      <w:r w:rsidRPr="00364F08">
        <w:t xml:space="preserve"> and LOEC</w:t>
      </w:r>
      <w:r w:rsidR="00530FF8">
        <w:t>s</w:t>
      </w:r>
      <w:r w:rsidRPr="00364F08">
        <w:t xml:space="preserve"> for a range of endpoints </w:t>
      </w:r>
      <w:r w:rsidR="00530FF8">
        <w:t>for</w:t>
      </w:r>
      <w:r w:rsidR="00530FF8" w:rsidRPr="00364F08">
        <w:t xml:space="preserve"> </w:t>
      </w:r>
      <w:r w:rsidRPr="00364F08">
        <w:t>the S</w:t>
      </w:r>
      <w:r w:rsidR="00DC6B36">
        <w:t> </w:t>
      </w:r>
      <w:r w:rsidRPr="00364F08">
        <w:t>enantiomer, R</w:t>
      </w:r>
      <w:r w:rsidR="00DC6B36">
        <w:t> </w:t>
      </w:r>
      <w:r w:rsidRPr="00364F08">
        <w:t>enantiomer and racemate forms of fipronil. In this study, NOEC</w:t>
      </w:r>
      <w:r w:rsidR="00530FF8">
        <w:t>s</w:t>
      </w:r>
      <w:r w:rsidRPr="00364F08">
        <w:t xml:space="preserve"> could not be determined for the S</w:t>
      </w:r>
      <w:r w:rsidR="00ED4B52">
        <w:t> </w:t>
      </w:r>
      <w:r w:rsidRPr="00364F08">
        <w:t xml:space="preserve">enantiomer </w:t>
      </w:r>
      <w:r w:rsidR="00530FF8">
        <w:t>for</w:t>
      </w:r>
      <w:r w:rsidR="00530FF8" w:rsidRPr="00364F08">
        <w:t xml:space="preserve"> </w:t>
      </w:r>
      <w:r w:rsidRPr="00364F08">
        <w:t xml:space="preserve">two endpoints (fecundity and brood size), as the lowest concentration tested was significantly different to the control (i.e. the lowest concentration tested was a LOEC). </w:t>
      </w:r>
      <w:r w:rsidR="00530FF8">
        <w:t xml:space="preserve">These LOECs for the </w:t>
      </w:r>
      <w:r w:rsidR="00530FF8" w:rsidRPr="00364F08">
        <w:t>S</w:t>
      </w:r>
      <w:r w:rsidR="00ED4B52">
        <w:t> </w:t>
      </w:r>
      <w:r w:rsidR="00530FF8" w:rsidRPr="00364F08">
        <w:t>enantiomer</w:t>
      </w:r>
      <w:r w:rsidR="00530FF8">
        <w:t xml:space="preserve"> were lower than the</w:t>
      </w:r>
      <w:r w:rsidRPr="00364F08">
        <w:t xml:space="preserve"> NOECs for the R</w:t>
      </w:r>
      <w:r w:rsidR="00ED4B52">
        <w:t> </w:t>
      </w:r>
      <w:r w:rsidRPr="00364F08">
        <w:t xml:space="preserve">enantiomer and racemate forms of fipronil (using the same endpoints). </w:t>
      </w:r>
      <w:r w:rsidR="00157A69">
        <w:t>Although</w:t>
      </w:r>
      <w:r w:rsidR="00157A69" w:rsidRPr="00364F08">
        <w:t xml:space="preserve"> NOEC</w:t>
      </w:r>
      <w:r w:rsidR="00157A69">
        <w:t>s</w:t>
      </w:r>
      <w:r w:rsidR="00157A69" w:rsidRPr="00364F08">
        <w:t xml:space="preserve"> are </w:t>
      </w:r>
      <w:r w:rsidR="00157A69">
        <w:t>preferred</w:t>
      </w:r>
      <w:r w:rsidR="00157A69" w:rsidRPr="00364F08">
        <w:t xml:space="preserve"> over LOEC</w:t>
      </w:r>
      <w:r w:rsidR="00157A69">
        <w:t>s</w:t>
      </w:r>
      <w:r w:rsidR="00157A69" w:rsidRPr="00364F08">
        <w:t xml:space="preserve"> when </w:t>
      </w:r>
      <w:r w:rsidR="00157A69">
        <w:t>determining</w:t>
      </w:r>
      <w:r w:rsidR="00157A69" w:rsidRPr="00364F08">
        <w:t xml:space="preserve"> the single value </w:t>
      </w:r>
      <w:r w:rsidR="00157A69">
        <w:t>for</w:t>
      </w:r>
      <w:r w:rsidR="00157A69" w:rsidRPr="00364F08">
        <w:t xml:space="preserve"> each species (Warne et al. 2018)</w:t>
      </w:r>
      <w:r w:rsidRPr="00364F08">
        <w:t>, the LOEC</w:t>
      </w:r>
      <w:r w:rsidR="00157A69">
        <w:t>s</w:t>
      </w:r>
      <w:r w:rsidRPr="00364F08">
        <w:t xml:space="preserve"> for the S</w:t>
      </w:r>
      <w:r w:rsidR="00ED4B52">
        <w:t> </w:t>
      </w:r>
      <w:r w:rsidRPr="00364F08">
        <w:t xml:space="preserve">enantiomer were </w:t>
      </w:r>
      <w:r>
        <w:t>us</w:t>
      </w:r>
      <w:r w:rsidRPr="00364F08">
        <w:t xml:space="preserve">ed </w:t>
      </w:r>
      <w:r w:rsidR="00530FF8">
        <w:t>(after conversion</w:t>
      </w:r>
      <w:r w:rsidR="00E71A84">
        <w:t xml:space="preserve"> to negligible effect estimates</w:t>
      </w:r>
      <w:r w:rsidR="00530FF8">
        <w:t xml:space="preserve">) </w:t>
      </w:r>
      <w:r>
        <w:t xml:space="preserve">in the </w:t>
      </w:r>
      <w:r w:rsidR="00A25EA1">
        <w:t xml:space="preserve">DGV </w:t>
      </w:r>
      <w:r>
        <w:t>derivation</w:t>
      </w:r>
      <w:r w:rsidR="00B763FA" w:rsidRPr="00B763FA">
        <w:t xml:space="preserve"> </w:t>
      </w:r>
      <w:r w:rsidR="00B763FA" w:rsidRPr="00364F08">
        <w:t xml:space="preserve">as they were more protective </w:t>
      </w:r>
      <w:r w:rsidR="00A25EA1">
        <w:t>of</w:t>
      </w:r>
      <w:r w:rsidR="00A25EA1" w:rsidRPr="00364F08">
        <w:t xml:space="preserve"> </w:t>
      </w:r>
      <w:r w:rsidR="00B763FA" w:rsidRPr="00364F08">
        <w:t>this species</w:t>
      </w:r>
      <w:r w:rsidR="00B763FA">
        <w:t xml:space="preserve"> than </w:t>
      </w:r>
      <w:r w:rsidRPr="00364F08">
        <w:t>the NOEC</w:t>
      </w:r>
      <w:r w:rsidR="00B763FA">
        <w:t>s</w:t>
      </w:r>
      <w:r w:rsidRPr="00364F08">
        <w:t xml:space="preserve"> for the R</w:t>
      </w:r>
      <w:r w:rsidR="00A25EA1">
        <w:t> </w:t>
      </w:r>
      <w:r w:rsidRPr="00364F08">
        <w:t>enantiomer and racemate forms.</w:t>
      </w:r>
    </w:p>
    <w:p w14:paraId="02760209" w14:textId="236617B8" w:rsidR="00F71C94" w:rsidRDefault="00F71C94" w:rsidP="00E8209D">
      <w:r w:rsidRPr="00EA4BE2">
        <w:t xml:space="preserve">In calculating the single toxicity value </w:t>
      </w:r>
      <w:r>
        <w:t>for each</w:t>
      </w:r>
      <w:r w:rsidRPr="00EA4BE2">
        <w:t xml:space="preserve"> species</w:t>
      </w:r>
      <w:r>
        <w:t>,</w:t>
      </w:r>
      <w:r w:rsidRPr="00EA4BE2">
        <w:t xml:space="preserve"> different instars of insect</w:t>
      </w:r>
      <w:r>
        <w:t xml:space="preserve"> larvae</w:t>
      </w:r>
      <w:r w:rsidRPr="00EA4BE2">
        <w:t xml:space="preserve"> were treated as being the same </w:t>
      </w:r>
      <w:r>
        <w:t xml:space="preserve">life stage </w:t>
      </w:r>
      <w:r w:rsidRPr="00EA4BE2">
        <w:t xml:space="preserve">(i.e. </w:t>
      </w:r>
      <w:r w:rsidR="007809C4">
        <w:t>provided the</w:t>
      </w:r>
      <w:r w:rsidRPr="00EA4BE2">
        <w:t xml:space="preserve"> endpoint</w:t>
      </w:r>
      <w:r w:rsidR="005E615D">
        <w:t>, t</w:t>
      </w:r>
      <w:r w:rsidR="00B816F7">
        <w:t>est duration and test conditions</w:t>
      </w:r>
      <w:r w:rsidRPr="00EA4BE2">
        <w:t xml:space="preserve"> were</w:t>
      </w:r>
      <w:r w:rsidR="007809C4">
        <w:t xml:space="preserve"> the same</w:t>
      </w:r>
      <w:r w:rsidRPr="00EA4BE2">
        <w:t xml:space="preserve">, </w:t>
      </w:r>
      <w:r w:rsidR="007809C4">
        <w:t>different instars w</w:t>
      </w:r>
      <w:r w:rsidRPr="00EA4BE2">
        <w:t xml:space="preserve">ere </w:t>
      </w:r>
      <w:r w:rsidR="007809C4">
        <w:t>combined</w:t>
      </w:r>
      <w:r w:rsidRPr="00EA4BE2">
        <w:t xml:space="preserve"> to calculate geometric means). For example, this was done for the mosquito </w:t>
      </w:r>
      <w:r w:rsidRPr="00EA4BE2">
        <w:rPr>
          <w:i/>
          <w:iCs/>
        </w:rPr>
        <w:t>Aedes aegypti</w:t>
      </w:r>
      <w:r w:rsidRPr="00EA4BE2">
        <w:t xml:space="preserve"> and </w:t>
      </w:r>
      <w:r w:rsidRPr="00EA4BE2">
        <w:rPr>
          <w:i/>
          <w:iCs/>
        </w:rPr>
        <w:t>Aedes albopictus</w:t>
      </w:r>
      <w:r w:rsidRPr="00EA4BE2">
        <w:t xml:space="preserve"> (</w:t>
      </w:r>
      <w:r w:rsidR="00F52019">
        <w:fldChar w:fldCharType="begin"/>
      </w:r>
      <w:r w:rsidR="00F52019">
        <w:instrText xml:space="preserve"> REF _Ref199343459 \h </w:instrText>
      </w:r>
      <w:r w:rsidR="00F52019">
        <w:fldChar w:fldCharType="separate"/>
      </w:r>
      <w:r w:rsidR="00BA1209" w:rsidRPr="00177832">
        <w:t>Appendix</w:t>
      </w:r>
      <w:r w:rsidR="00BA1209">
        <w:t> </w:t>
      </w:r>
      <w:r w:rsidR="00BA1209" w:rsidRPr="00177832">
        <w:t xml:space="preserve">A: </w:t>
      </w:r>
      <w:r w:rsidR="00BA1209">
        <w:t>T</w:t>
      </w:r>
      <w:r w:rsidR="00BA1209" w:rsidRPr="00177832">
        <w:t xml:space="preserve">oxicity data </w:t>
      </w:r>
      <w:r w:rsidR="00BA1209">
        <w:t xml:space="preserve">that passed the screening and quality assessment and were </w:t>
      </w:r>
      <w:r w:rsidR="00BA1209" w:rsidRPr="00177832">
        <w:t xml:space="preserve">used to derive </w:t>
      </w:r>
      <w:r w:rsidR="00BA1209">
        <w:t xml:space="preserve">the </w:t>
      </w:r>
      <w:r w:rsidR="00BA1209" w:rsidRPr="00177832">
        <w:t>default guideline values</w:t>
      </w:r>
      <w:r w:rsidR="00F52019">
        <w:fldChar w:fldCharType="end"/>
      </w:r>
      <w:r w:rsidRPr="00EA4BE2">
        <w:t>).</w:t>
      </w:r>
      <w:r>
        <w:t xml:space="preserve"> </w:t>
      </w:r>
    </w:p>
    <w:p w14:paraId="3CBB6249" w14:textId="268E33F3" w:rsidR="00F71C94" w:rsidRDefault="00F71C94" w:rsidP="00E8209D">
      <w:pPr>
        <w:rPr>
          <w:bCs/>
        </w:rPr>
      </w:pPr>
      <w:r>
        <w:rPr>
          <w:rFonts w:ascii="Calibri" w:hAnsi="Calibri" w:cs="Calibri"/>
        </w:rPr>
        <w:t xml:space="preserve">Chandler et al. (2004) reported a 62% reduction in predicted population size for the third generation of copepod </w:t>
      </w:r>
      <w:r w:rsidR="00745D11" w:rsidRPr="00745D11">
        <w:rPr>
          <w:rFonts w:ascii="Calibri" w:hAnsi="Calibri" w:cs="Calibri"/>
          <w:i/>
          <w:iCs/>
        </w:rPr>
        <w:t>Amphiascus</w:t>
      </w:r>
      <w:r w:rsidR="00745D11">
        <w:rPr>
          <w:rFonts w:ascii="Calibri" w:hAnsi="Calibri" w:cs="Calibri"/>
          <w:i/>
          <w:iCs/>
          <w:color w:val="000000"/>
          <w:lang w:val="en-GB"/>
        </w:rPr>
        <w:t xml:space="preserve"> </w:t>
      </w:r>
      <w:r>
        <w:rPr>
          <w:rFonts w:ascii="Calibri" w:hAnsi="Calibri" w:cs="Calibri"/>
          <w:i/>
          <w:iCs/>
          <w:color w:val="000000"/>
          <w:lang w:val="en-GB"/>
        </w:rPr>
        <w:t xml:space="preserve">tenuiremis </w:t>
      </w:r>
      <w:r>
        <w:rPr>
          <w:rFonts w:ascii="Calibri" w:hAnsi="Calibri" w:cs="Calibri"/>
          <w:color w:val="000000"/>
          <w:lang w:val="en-GB"/>
        </w:rPr>
        <w:t>at a fipronil concentration of 0.16</w:t>
      </w:r>
      <w:r w:rsidR="0006572D">
        <w:rPr>
          <w:rFonts w:ascii="Calibri" w:hAnsi="Calibri" w:cs="Calibri"/>
          <w:color w:val="000000"/>
          <w:lang w:val="en-GB"/>
        </w:rPr>
        <w:t> </w:t>
      </w:r>
      <w:r>
        <w:rPr>
          <w:rFonts w:ascii="Calibri" w:hAnsi="Calibri" w:cs="Calibri"/>
          <w:color w:val="000000"/>
          <w:lang w:val="en-GB"/>
        </w:rPr>
        <w:t>µg/L;</w:t>
      </w:r>
      <w:r>
        <w:rPr>
          <w:rFonts w:ascii="Calibri" w:hAnsi="Calibri" w:cs="Calibri"/>
          <w:i/>
          <w:iCs/>
          <w:color w:val="000000"/>
          <w:lang w:val="en-GB"/>
        </w:rPr>
        <w:t xml:space="preserve"> </w:t>
      </w:r>
      <w:r>
        <w:rPr>
          <w:rFonts w:ascii="Calibri" w:hAnsi="Calibri" w:cs="Calibri"/>
          <w:color w:val="000000"/>
          <w:lang w:val="en-GB"/>
        </w:rPr>
        <w:t xml:space="preserve">however, this value was not used in the derivation because it </w:t>
      </w:r>
      <w:r w:rsidR="00985806">
        <w:rPr>
          <w:rFonts w:ascii="Calibri" w:hAnsi="Calibri" w:cs="Calibri"/>
          <w:color w:val="000000"/>
          <w:lang w:val="en-GB"/>
        </w:rPr>
        <w:t>was</w:t>
      </w:r>
      <w:r>
        <w:rPr>
          <w:rFonts w:ascii="Calibri" w:hAnsi="Calibri" w:cs="Calibri"/>
          <w:color w:val="000000"/>
          <w:lang w:val="en-GB"/>
        </w:rPr>
        <w:t xml:space="preserve"> a </w:t>
      </w:r>
      <w:r w:rsidR="00DD2422">
        <w:rPr>
          <w:rFonts w:ascii="Calibri" w:hAnsi="Calibri" w:cs="Calibri"/>
          <w:color w:val="000000"/>
          <w:lang w:val="en-GB"/>
        </w:rPr>
        <w:t xml:space="preserve">modelled </w:t>
      </w:r>
      <w:r>
        <w:rPr>
          <w:rFonts w:ascii="Calibri" w:hAnsi="Calibri" w:cs="Calibri"/>
          <w:color w:val="000000"/>
          <w:lang w:val="en-GB"/>
        </w:rPr>
        <w:t>prediction of the population size of the third generation based on data for the first generation</w:t>
      </w:r>
      <w:r w:rsidR="007F4BB1">
        <w:rPr>
          <w:rFonts w:ascii="Calibri" w:hAnsi="Calibri" w:cs="Calibri"/>
          <w:color w:val="000000"/>
          <w:lang w:val="en-GB"/>
        </w:rPr>
        <w:t>. Instead, a</w:t>
      </w:r>
      <w:r>
        <w:rPr>
          <w:rFonts w:ascii="Calibri" w:hAnsi="Calibri" w:cs="Calibri"/>
          <w:color w:val="000000"/>
          <w:lang w:val="en-GB"/>
        </w:rPr>
        <w:t xml:space="preserve"> NOE</w:t>
      </w:r>
      <w:r w:rsidR="00BF1868">
        <w:rPr>
          <w:rFonts w:ascii="Calibri" w:hAnsi="Calibri" w:cs="Calibri"/>
          <w:color w:val="000000"/>
          <w:lang w:val="en-GB"/>
        </w:rPr>
        <w:t>L</w:t>
      </w:r>
      <w:r>
        <w:rPr>
          <w:rFonts w:ascii="Calibri" w:hAnsi="Calibri" w:cs="Calibri"/>
          <w:color w:val="000000"/>
          <w:lang w:val="en-GB"/>
        </w:rPr>
        <w:t xml:space="preserve"> of 0.16</w:t>
      </w:r>
      <w:r w:rsidR="0006572D">
        <w:rPr>
          <w:rFonts w:ascii="Calibri" w:hAnsi="Calibri" w:cs="Calibri"/>
          <w:color w:val="000000"/>
          <w:lang w:val="en-GB"/>
        </w:rPr>
        <w:t> </w:t>
      </w:r>
      <w:r>
        <w:rPr>
          <w:rFonts w:ascii="Calibri" w:hAnsi="Calibri" w:cs="Calibri"/>
          <w:color w:val="000000"/>
          <w:lang w:val="en-GB"/>
        </w:rPr>
        <w:t xml:space="preserve">µg/L </w:t>
      </w:r>
      <w:r w:rsidR="007F4BB1">
        <w:rPr>
          <w:rFonts w:ascii="Calibri" w:hAnsi="Calibri" w:cs="Calibri"/>
          <w:color w:val="000000"/>
          <w:lang w:val="en-GB"/>
        </w:rPr>
        <w:t xml:space="preserve">based on measured 21-d reproduction and 12-d development </w:t>
      </w:r>
      <w:r>
        <w:rPr>
          <w:rFonts w:ascii="Calibri" w:hAnsi="Calibri" w:cs="Calibri"/>
          <w:color w:val="000000"/>
          <w:lang w:val="en-GB"/>
        </w:rPr>
        <w:t xml:space="preserve">was used as the </w:t>
      </w:r>
      <w:r w:rsidR="007F4BB1">
        <w:rPr>
          <w:rFonts w:ascii="Calibri" w:hAnsi="Calibri" w:cs="Calibri"/>
          <w:color w:val="000000"/>
          <w:lang w:val="en-GB"/>
        </w:rPr>
        <w:t>final toxicity value for</w:t>
      </w:r>
      <w:r>
        <w:rPr>
          <w:rFonts w:ascii="Calibri" w:hAnsi="Calibri" w:cs="Calibri"/>
          <w:color w:val="000000"/>
          <w:lang w:val="en-GB"/>
        </w:rPr>
        <w:t xml:space="preserve"> </w:t>
      </w:r>
      <w:r>
        <w:rPr>
          <w:rFonts w:ascii="Calibri" w:hAnsi="Calibri" w:cs="Calibri"/>
          <w:i/>
          <w:iCs/>
          <w:color w:val="000000"/>
          <w:lang w:val="en-GB"/>
        </w:rPr>
        <w:t>A.</w:t>
      </w:r>
      <w:r w:rsidR="0006572D">
        <w:rPr>
          <w:rFonts w:ascii="Calibri" w:hAnsi="Calibri" w:cs="Calibri"/>
          <w:i/>
          <w:iCs/>
          <w:color w:val="000000"/>
          <w:lang w:val="en-GB"/>
        </w:rPr>
        <w:t> </w:t>
      </w:r>
      <w:r>
        <w:rPr>
          <w:rFonts w:ascii="Calibri" w:hAnsi="Calibri" w:cs="Calibri"/>
          <w:i/>
          <w:iCs/>
          <w:color w:val="000000"/>
          <w:lang w:val="en-GB"/>
        </w:rPr>
        <w:t>tenuiremis.</w:t>
      </w:r>
    </w:p>
    <w:p w14:paraId="799AD4FC" w14:textId="33D6F6B5" w:rsidR="00420416" w:rsidRDefault="00EE7A0E" w:rsidP="00E8209D">
      <w:pPr>
        <w:rPr>
          <w:bCs/>
        </w:rPr>
      </w:pPr>
      <w:r w:rsidRPr="00EA4BE2">
        <w:lastRenderedPageBreak/>
        <w:t xml:space="preserve">A summary of the toxicity data (one value per species) used to </w:t>
      </w:r>
      <w:r w:rsidR="0033045C">
        <w:t>derive</w:t>
      </w:r>
      <w:r w:rsidR="0033045C" w:rsidRPr="00EA4BE2">
        <w:t xml:space="preserve"> </w:t>
      </w:r>
      <w:r w:rsidRPr="00EA4BE2">
        <w:t>the DGVs for fipronil in marine water is in</w:t>
      </w:r>
      <w:r w:rsidR="009A68B7">
        <w:t xml:space="preserve"> </w:t>
      </w:r>
      <w:r w:rsidR="009A68B7">
        <w:fldChar w:fldCharType="begin"/>
      </w:r>
      <w:r w:rsidR="009A68B7">
        <w:instrText xml:space="preserve"> REF _Ref129766359 \h </w:instrText>
      </w:r>
      <w:r w:rsidR="009A68B7">
        <w:fldChar w:fldCharType="separate"/>
      </w:r>
      <w:r w:rsidR="00BA1209">
        <w:t>Table </w:t>
      </w:r>
      <w:r w:rsidR="00BA1209">
        <w:rPr>
          <w:noProof/>
        </w:rPr>
        <w:t>2</w:t>
      </w:r>
      <w:r w:rsidR="009A68B7">
        <w:fldChar w:fldCharType="end"/>
      </w:r>
      <w:r w:rsidR="003C5F03">
        <w:t xml:space="preserve">, with additional details of the data provided in </w:t>
      </w:r>
      <w:r w:rsidR="003C5F03">
        <w:fldChar w:fldCharType="begin"/>
      </w:r>
      <w:r w:rsidR="003C5F03">
        <w:instrText xml:space="preserve"> REF _Ref199793404 \h </w:instrText>
      </w:r>
      <w:r w:rsidR="003C5F03">
        <w:fldChar w:fldCharType="separate"/>
      </w:r>
      <w:r w:rsidR="00BA1209" w:rsidRPr="00177832">
        <w:t>Appendix</w:t>
      </w:r>
      <w:r w:rsidR="00BA1209">
        <w:t> </w:t>
      </w:r>
      <w:r w:rsidR="00BA1209" w:rsidRPr="00177832">
        <w:t xml:space="preserve">A: </w:t>
      </w:r>
      <w:r w:rsidR="00BA1209">
        <w:t>T</w:t>
      </w:r>
      <w:r w:rsidR="00BA1209" w:rsidRPr="00177832">
        <w:t xml:space="preserve">oxicity data </w:t>
      </w:r>
      <w:r w:rsidR="00BA1209">
        <w:t xml:space="preserve">that passed the screening and quality assessment and were </w:t>
      </w:r>
      <w:r w:rsidR="00BA1209" w:rsidRPr="00177832">
        <w:t xml:space="preserve">used to derive </w:t>
      </w:r>
      <w:r w:rsidR="00BA1209">
        <w:t xml:space="preserve">the </w:t>
      </w:r>
      <w:r w:rsidR="00BA1209" w:rsidRPr="00177832">
        <w:t>default guideline values</w:t>
      </w:r>
      <w:r w:rsidR="003C5F03">
        <w:fldChar w:fldCharType="end"/>
      </w:r>
      <w:r w:rsidRPr="00EA4BE2">
        <w:t>. Details of the data quality assessment and the data that passed the quality assessment are provided as supporting information.</w:t>
      </w:r>
      <w:r w:rsidR="00476F44" w:rsidRPr="00EA4BE2">
        <w:t xml:space="preserve"> </w:t>
      </w:r>
      <w:r w:rsidR="00420416">
        <w:rPr>
          <w:bCs/>
        </w:rPr>
        <w:t xml:space="preserve">Where studies provided </w:t>
      </w:r>
      <w:r w:rsidR="00677855">
        <w:rPr>
          <w:bCs/>
        </w:rPr>
        <w:t xml:space="preserve">toxicity </w:t>
      </w:r>
      <w:r w:rsidR="00420416">
        <w:rPr>
          <w:bCs/>
        </w:rPr>
        <w:t xml:space="preserve">data for enantiomers and the racemate, the form </w:t>
      </w:r>
      <w:r w:rsidR="00677855">
        <w:rPr>
          <w:bCs/>
        </w:rPr>
        <w:t xml:space="preserve">that had </w:t>
      </w:r>
      <w:r w:rsidR="00420416">
        <w:rPr>
          <w:bCs/>
        </w:rPr>
        <w:t xml:space="preserve">the most sensitive response </w:t>
      </w:r>
      <w:r w:rsidR="00420416" w:rsidRPr="00B75665">
        <w:rPr>
          <w:bCs/>
        </w:rPr>
        <w:t xml:space="preserve">for each organism was used to derive the </w:t>
      </w:r>
      <w:r w:rsidR="00420416">
        <w:rPr>
          <w:bCs/>
        </w:rPr>
        <w:t>DGVs and</w:t>
      </w:r>
      <w:r w:rsidR="00420416" w:rsidRPr="00B75665">
        <w:rPr>
          <w:bCs/>
        </w:rPr>
        <w:t xml:space="preserve"> </w:t>
      </w:r>
      <w:r w:rsidR="00677855">
        <w:rPr>
          <w:bCs/>
        </w:rPr>
        <w:t xml:space="preserve">was </w:t>
      </w:r>
      <w:r w:rsidR="00420416" w:rsidRPr="00B75665">
        <w:rPr>
          <w:bCs/>
        </w:rPr>
        <w:t>expressed in terms of the concentr</w:t>
      </w:r>
      <w:r w:rsidR="00420416">
        <w:rPr>
          <w:bCs/>
        </w:rPr>
        <w:t>ation of the active ingredient (i.e. fipronil).</w:t>
      </w:r>
    </w:p>
    <w:p w14:paraId="1285CDBD" w14:textId="2FE4CC36" w:rsidR="008F7426" w:rsidRPr="001317DE" w:rsidRDefault="009A1E22" w:rsidP="00CF6C10">
      <w:pPr>
        <w:pStyle w:val="Caption"/>
        <w:keepNext w:val="0"/>
      </w:pPr>
      <w:bookmarkStart w:id="24" w:name="_Ref129766359"/>
      <w:bookmarkStart w:id="25" w:name="_Toc205549930"/>
      <w:r>
        <w:t>Table </w:t>
      </w:r>
      <w:r w:rsidR="00D14480">
        <w:fldChar w:fldCharType="begin"/>
      </w:r>
      <w:r w:rsidR="00D14480">
        <w:instrText xml:space="preserve"> SEQ Table \* ARABIC </w:instrText>
      </w:r>
      <w:r w:rsidR="00D14480">
        <w:fldChar w:fldCharType="separate"/>
      </w:r>
      <w:r w:rsidR="00BA1209">
        <w:rPr>
          <w:noProof/>
        </w:rPr>
        <w:t>2</w:t>
      </w:r>
      <w:r w:rsidR="00D14480">
        <w:rPr>
          <w:noProof/>
        </w:rPr>
        <w:fldChar w:fldCharType="end"/>
      </w:r>
      <w:bookmarkEnd w:id="24"/>
      <w:r w:rsidR="008C1D30" w:rsidRPr="001317DE">
        <w:t xml:space="preserve"> Summary of single toxicity values</w:t>
      </w:r>
      <w:r w:rsidR="00D87BB9">
        <w:t>, all species</w:t>
      </w:r>
      <w:r w:rsidR="008C1D30" w:rsidRPr="001317DE">
        <w:t xml:space="preserve"> used to derive default guideline values for fipronil in marine water</w:t>
      </w:r>
      <w:bookmarkEnd w:id="25"/>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Caption w:val="Summary of single toxicity values, all species used to derive default guideline values for fipronil in marine water"/>
        <w:tblDescription w:val="Table provides a list of the species used to derive the fipronil DGVs with additional details such as taxonomic group, life stage, duration (days), toxicity measure (endpoint), reported toxicity value (microgram per litre) and final toxicity value (microgram per litre)."/>
      </w:tblPr>
      <w:tblGrid>
        <w:gridCol w:w="1137"/>
        <w:gridCol w:w="1557"/>
        <w:gridCol w:w="1417"/>
        <w:gridCol w:w="991"/>
        <w:gridCol w:w="1987"/>
        <w:gridCol w:w="991"/>
        <w:gridCol w:w="991"/>
      </w:tblGrid>
      <w:tr w:rsidR="00084E30" w:rsidRPr="00ED728C" w14:paraId="08E23DC0" w14:textId="77777777" w:rsidTr="00FC092B">
        <w:trPr>
          <w:cantSplit/>
          <w:trHeight w:val="415"/>
          <w:tblHeader/>
        </w:trPr>
        <w:tc>
          <w:tcPr>
            <w:tcW w:w="627" w:type="pct"/>
            <w:tcBorders>
              <w:top w:val="single" w:sz="12" w:space="0" w:color="auto"/>
              <w:bottom w:val="single" w:sz="12" w:space="0" w:color="auto"/>
            </w:tcBorders>
            <w:vAlign w:val="center"/>
          </w:tcPr>
          <w:p w14:paraId="4D816BEA" w14:textId="7B621DFF" w:rsidR="00392C0C" w:rsidRPr="00ED728C" w:rsidRDefault="00392C0C" w:rsidP="00CF6C10">
            <w:pPr>
              <w:pStyle w:val="TableHeading"/>
              <w:keepNext w:val="0"/>
            </w:pPr>
            <w:bookmarkStart w:id="26" w:name="_Hlk205110832"/>
            <w:r w:rsidRPr="00ED728C">
              <w:t>Taxonomic group</w:t>
            </w:r>
            <w:r>
              <w:t xml:space="preserve"> </w:t>
            </w:r>
          </w:p>
        </w:tc>
        <w:tc>
          <w:tcPr>
            <w:tcW w:w="859" w:type="pct"/>
            <w:tcBorders>
              <w:top w:val="single" w:sz="12" w:space="0" w:color="auto"/>
              <w:bottom w:val="single" w:sz="12" w:space="0" w:color="auto"/>
            </w:tcBorders>
            <w:vAlign w:val="center"/>
          </w:tcPr>
          <w:p w14:paraId="7915D575" w14:textId="77777777" w:rsidR="00392C0C" w:rsidRPr="00ED728C" w:rsidRDefault="00392C0C" w:rsidP="00CF6C10">
            <w:pPr>
              <w:pStyle w:val="TableHeading"/>
              <w:keepNext w:val="0"/>
            </w:pPr>
            <w:r w:rsidRPr="00ED728C">
              <w:t>Species</w:t>
            </w:r>
          </w:p>
        </w:tc>
        <w:tc>
          <w:tcPr>
            <w:tcW w:w="781" w:type="pct"/>
            <w:tcBorders>
              <w:top w:val="single" w:sz="12" w:space="0" w:color="auto"/>
              <w:bottom w:val="single" w:sz="12" w:space="0" w:color="auto"/>
            </w:tcBorders>
            <w:vAlign w:val="center"/>
          </w:tcPr>
          <w:p w14:paraId="55AAE775" w14:textId="77777777" w:rsidR="00392C0C" w:rsidRPr="00ED728C" w:rsidRDefault="00392C0C" w:rsidP="00CF6C10">
            <w:pPr>
              <w:pStyle w:val="TableHeading"/>
              <w:keepNext w:val="0"/>
            </w:pPr>
            <w:r w:rsidRPr="00ED728C">
              <w:t>Life stage</w:t>
            </w:r>
          </w:p>
        </w:tc>
        <w:tc>
          <w:tcPr>
            <w:tcW w:w="546" w:type="pct"/>
            <w:tcBorders>
              <w:top w:val="single" w:sz="12" w:space="0" w:color="auto"/>
              <w:bottom w:val="single" w:sz="12" w:space="0" w:color="auto"/>
            </w:tcBorders>
            <w:vAlign w:val="center"/>
          </w:tcPr>
          <w:p w14:paraId="187E5A62" w14:textId="77777777" w:rsidR="00392C0C" w:rsidRPr="00ED728C" w:rsidRDefault="00392C0C" w:rsidP="00CF6C10">
            <w:pPr>
              <w:pStyle w:val="TableHeading"/>
              <w:keepNext w:val="0"/>
            </w:pPr>
            <w:r w:rsidRPr="00ED728C">
              <w:t>Duration (days)</w:t>
            </w:r>
          </w:p>
        </w:tc>
        <w:tc>
          <w:tcPr>
            <w:tcW w:w="1095" w:type="pct"/>
            <w:tcBorders>
              <w:top w:val="single" w:sz="12" w:space="0" w:color="auto"/>
              <w:bottom w:val="single" w:sz="12" w:space="0" w:color="auto"/>
            </w:tcBorders>
            <w:vAlign w:val="center"/>
          </w:tcPr>
          <w:p w14:paraId="425E2423" w14:textId="1D6120BD" w:rsidR="00392C0C" w:rsidRPr="00ED728C" w:rsidRDefault="00392C0C" w:rsidP="00CF6C10">
            <w:pPr>
              <w:pStyle w:val="TableHeading"/>
              <w:keepNext w:val="0"/>
            </w:pPr>
            <w:r w:rsidRPr="00ED728C">
              <w:t>Toxicity measure</w:t>
            </w:r>
            <w:r>
              <w:t> </w:t>
            </w:r>
            <w:r w:rsidRPr="00E303CD">
              <w:rPr>
                <w:rStyle w:val="Strong"/>
                <w:vertAlign w:val="superscript"/>
              </w:rPr>
              <w:t>a</w:t>
            </w:r>
            <w:r>
              <w:t xml:space="preserve"> </w:t>
            </w:r>
            <w:r w:rsidRPr="00ED728C">
              <w:t>(endpoint)</w:t>
            </w:r>
          </w:p>
        </w:tc>
        <w:tc>
          <w:tcPr>
            <w:tcW w:w="546" w:type="pct"/>
            <w:tcBorders>
              <w:top w:val="single" w:sz="12" w:space="0" w:color="auto"/>
              <w:bottom w:val="single" w:sz="12" w:space="0" w:color="auto"/>
            </w:tcBorders>
            <w:vAlign w:val="center"/>
          </w:tcPr>
          <w:p w14:paraId="309D37F2" w14:textId="432AF930" w:rsidR="00392C0C" w:rsidRPr="00ED728C" w:rsidRDefault="00392C0C" w:rsidP="00CF6C10">
            <w:pPr>
              <w:pStyle w:val="TableHeading"/>
              <w:keepNext w:val="0"/>
            </w:pPr>
            <w:r>
              <w:t>Reported t</w:t>
            </w:r>
            <w:r w:rsidRPr="00ED728C">
              <w:t>oxicity value (µg/L)</w:t>
            </w:r>
          </w:p>
        </w:tc>
        <w:tc>
          <w:tcPr>
            <w:tcW w:w="546" w:type="pct"/>
            <w:tcBorders>
              <w:top w:val="single" w:sz="12" w:space="0" w:color="auto"/>
              <w:bottom w:val="single" w:sz="12" w:space="0" w:color="auto"/>
            </w:tcBorders>
          </w:tcPr>
          <w:p w14:paraId="1A78019A" w14:textId="77777777" w:rsidR="00392C0C" w:rsidRPr="00ED728C" w:rsidRDefault="00392C0C" w:rsidP="00CF6C10">
            <w:pPr>
              <w:pStyle w:val="TableHeading"/>
              <w:keepNext w:val="0"/>
            </w:pPr>
            <w:r w:rsidRPr="00ED728C">
              <w:t>Final toxicity values (µg/L)</w:t>
            </w:r>
          </w:p>
        </w:tc>
      </w:tr>
      <w:tr w:rsidR="00392C0C" w:rsidRPr="00ED728C" w14:paraId="12AFB48A" w14:textId="77777777" w:rsidTr="00392C0C">
        <w:trPr>
          <w:cantSplit/>
        </w:trPr>
        <w:tc>
          <w:tcPr>
            <w:tcW w:w="5000" w:type="pct"/>
            <w:gridSpan w:val="7"/>
            <w:tcBorders>
              <w:top w:val="single" w:sz="12" w:space="0" w:color="auto"/>
            </w:tcBorders>
          </w:tcPr>
          <w:p w14:paraId="49FEE0EE" w14:textId="790932E3" w:rsidR="00392C0C" w:rsidRPr="00E42077" w:rsidRDefault="00392C0C" w:rsidP="00CF6C10">
            <w:pPr>
              <w:pStyle w:val="TableHeading"/>
              <w:keepNext w:val="0"/>
            </w:pPr>
            <w:r>
              <w:t xml:space="preserve">Marine </w:t>
            </w:r>
          </w:p>
        </w:tc>
      </w:tr>
      <w:tr w:rsidR="00084E30" w:rsidRPr="00ED728C" w14:paraId="0D74222B" w14:textId="77777777" w:rsidTr="00CC21A3">
        <w:trPr>
          <w:cantSplit/>
        </w:trPr>
        <w:tc>
          <w:tcPr>
            <w:tcW w:w="627" w:type="pct"/>
          </w:tcPr>
          <w:p w14:paraId="6208DB21" w14:textId="40EB1A9F" w:rsidR="00392C0C" w:rsidRPr="00E42077" w:rsidRDefault="00392C0C" w:rsidP="00CF6C10">
            <w:pPr>
              <w:pStyle w:val="TableText"/>
              <w:rPr>
                <w:color w:val="000000"/>
              </w:rPr>
            </w:pPr>
            <w:r w:rsidRPr="00E42077">
              <w:rPr>
                <w:color w:val="000000"/>
              </w:rPr>
              <w:t>Crustacea</w:t>
            </w:r>
            <w:r>
              <w:rPr>
                <w:color w:val="000000"/>
              </w:rPr>
              <w:t>n</w:t>
            </w:r>
          </w:p>
        </w:tc>
        <w:tc>
          <w:tcPr>
            <w:tcW w:w="859" w:type="pct"/>
          </w:tcPr>
          <w:p w14:paraId="08CB6FA9" w14:textId="2D41CD53" w:rsidR="00392C0C" w:rsidRPr="00E42077" w:rsidRDefault="00392C0C" w:rsidP="00CF6C10">
            <w:pPr>
              <w:pStyle w:val="TableText"/>
              <w:rPr>
                <w:i/>
                <w:iCs/>
                <w:color w:val="000000"/>
              </w:rPr>
            </w:pPr>
            <w:r w:rsidRPr="00E42077">
              <w:rPr>
                <w:i/>
                <w:iCs/>
                <w:color w:val="000000"/>
              </w:rPr>
              <w:t>Americamysis bahia</w:t>
            </w:r>
          </w:p>
        </w:tc>
        <w:tc>
          <w:tcPr>
            <w:tcW w:w="781" w:type="pct"/>
          </w:tcPr>
          <w:p w14:paraId="7F8764BB" w14:textId="16692167" w:rsidR="00392C0C" w:rsidRPr="00E42077" w:rsidRDefault="00392C0C" w:rsidP="00CF6C10">
            <w:pPr>
              <w:pStyle w:val="TableText"/>
              <w:rPr>
                <w:color w:val="000000"/>
              </w:rPr>
            </w:pPr>
            <w:r>
              <w:rPr>
                <w:color w:val="000000"/>
              </w:rPr>
              <w:t>Early juvenile</w:t>
            </w:r>
          </w:p>
        </w:tc>
        <w:tc>
          <w:tcPr>
            <w:tcW w:w="546" w:type="pct"/>
          </w:tcPr>
          <w:p w14:paraId="08305EEF" w14:textId="42D137BE" w:rsidR="00392C0C" w:rsidRPr="00E42077" w:rsidRDefault="00392C0C" w:rsidP="00CF6C10">
            <w:pPr>
              <w:pStyle w:val="TableText"/>
              <w:rPr>
                <w:color w:val="000000"/>
              </w:rPr>
            </w:pPr>
            <w:r w:rsidRPr="00E42077">
              <w:rPr>
                <w:color w:val="000000"/>
              </w:rPr>
              <w:t>28</w:t>
            </w:r>
          </w:p>
        </w:tc>
        <w:tc>
          <w:tcPr>
            <w:tcW w:w="1095" w:type="pct"/>
          </w:tcPr>
          <w:p w14:paraId="42B6BA2F" w14:textId="2FBFF53C" w:rsidR="00392C0C" w:rsidRPr="00E42077" w:rsidRDefault="00392C0C" w:rsidP="00CF6C10">
            <w:pPr>
              <w:pStyle w:val="TableText"/>
              <w:rPr>
                <w:color w:val="000000"/>
              </w:rPr>
            </w:pPr>
            <w:r w:rsidRPr="00E42077">
              <w:rPr>
                <w:color w:val="000000"/>
              </w:rPr>
              <w:t>Chronic LOEC</w:t>
            </w:r>
            <w:r w:rsidR="00055895">
              <w:rPr>
                <w:color w:val="000000"/>
              </w:rPr>
              <w:br/>
            </w:r>
            <w:r w:rsidRPr="00E42077">
              <w:rPr>
                <w:color w:val="000000"/>
              </w:rPr>
              <w:t>(Mortality)</w:t>
            </w:r>
          </w:p>
        </w:tc>
        <w:tc>
          <w:tcPr>
            <w:tcW w:w="546" w:type="pct"/>
          </w:tcPr>
          <w:p w14:paraId="77118239" w14:textId="275D6FB4" w:rsidR="00392C0C" w:rsidRPr="00E42077" w:rsidRDefault="00392C0C" w:rsidP="00CF6C10">
            <w:pPr>
              <w:pStyle w:val="TableText"/>
              <w:rPr>
                <w:color w:val="000000"/>
              </w:rPr>
            </w:pPr>
            <w:r w:rsidRPr="00E42077">
              <w:rPr>
                <w:color w:val="000000"/>
              </w:rPr>
              <w:t xml:space="preserve">0.0084 </w:t>
            </w:r>
            <w:r w:rsidRPr="00713503">
              <w:rPr>
                <w:rStyle w:val="Strong"/>
                <w:vertAlign w:val="superscript"/>
              </w:rPr>
              <w:t xml:space="preserve">c, </w:t>
            </w:r>
            <w:r>
              <w:rPr>
                <w:rStyle w:val="Strong"/>
                <w:vertAlign w:val="superscript"/>
              </w:rPr>
              <w:t>e</w:t>
            </w:r>
          </w:p>
        </w:tc>
        <w:tc>
          <w:tcPr>
            <w:tcW w:w="546" w:type="pct"/>
          </w:tcPr>
          <w:p w14:paraId="75BDCD26" w14:textId="4E3C1639" w:rsidR="00392C0C" w:rsidRPr="00E42077" w:rsidRDefault="00392C0C" w:rsidP="00CF6C10">
            <w:pPr>
              <w:pStyle w:val="TableText"/>
              <w:rPr>
                <w:color w:val="000000"/>
              </w:rPr>
            </w:pPr>
            <w:r w:rsidRPr="00E42077">
              <w:rPr>
                <w:color w:val="000000"/>
              </w:rPr>
              <w:t>0.003</w:t>
            </w:r>
          </w:p>
        </w:tc>
      </w:tr>
      <w:tr w:rsidR="00392C0C" w:rsidRPr="00ED728C" w14:paraId="034613A5" w14:textId="77777777" w:rsidTr="00392C0C">
        <w:trPr>
          <w:cantSplit/>
        </w:trPr>
        <w:tc>
          <w:tcPr>
            <w:tcW w:w="5000" w:type="pct"/>
            <w:gridSpan w:val="7"/>
          </w:tcPr>
          <w:p w14:paraId="05DCD0E2" w14:textId="1954669A" w:rsidR="00392C0C" w:rsidRPr="00E42077" w:rsidRDefault="00392C0C" w:rsidP="00CF6C10">
            <w:pPr>
              <w:pStyle w:val="TableHeading"/>
              <w:keepNext w:val="0"/>
            </w:pPr>
            <w:r>
              <w:t>Estuarine</w:t>
            </w:r>
          </w:p>
        </w:tc>
      </w:tr>
      <w:tr w:rsidR="00084E30" w:rsidRPr="00ED728C" w14:paraId="54A45327" w14:textId="77777777" w:rsidTr="00055895">
        <w:trPr>
          <w:cantSplit/>
          <w:trHeight w:val="69"/>
        </w:trPr>
        <w:tc>
          <w:tcPr>
            <w:tcW w:w="627" w:type="pct"/>
            <w:vMerge w:val="restart"/>
          </w:tcPr>
          <w:p w14:paraId="25D2B0B7" w14:textId="5F7A040C" w:rsidR="00392C0C" w:rsidRPr="00E42077" w:rsidRDefault="00392C0C" w:rsidP="00CF6C10">
            <w:pPr>
              <w:pStyle w:val="TableText"/>
              <w:rPr>
                <w:color w:val="000000"/>
              </w:rPr>
            </w:pPr>
            <w:r w:rsidRPr="00E42077">
              <w:rPr>
                <w:color w:val="000000"/>
              </w:rPr>
              <w:t>Crustacea</w:t>
            </w:r>
            <w:r>
              <w:rPr>
                <w:color w:val="000000"/>
              </w:rPr>
              <w:t>n</w:t>
            </w:r>
          </w:p>
        </w:tc>
        <w:tc>
          <w:tcPr>
            <w:tcW w:w="859" w:type="pct"/>
          </w:tcPr>
          <w:p w14:paraId="1ED2363F" w14:textId="77777777" w:rsidR="00392C0C" w:rsidRPr="00E42077" w:rsidRDefault="00392C0C" w:rsidP="00CF6C10">
            <w:pPr>
              <w:pStyle w:val="TableText"/>
              <w:rPr>
                <w:i/>
                <w:iCs/>
                <w:color w:val="000000"/>
              </w:rPr>
            </w:pPr>
            <w:r w:rsidRPr="00E42077">
              <w:rPr>
                <w:i/>
                <w:iCs/>
                <w:color w:val="000000"/>
              </w:rPr>
              <w:t>Amphiascus tenuiremis</w:t>
            </w:r>
          </w:p>
        </w:tc>
        <w:tc>
          <w:tcPr>
            <w:tcW w:w="781" w:type="pct"/>
          </w:tcPr>
          <w:p w14:paraId="0177D998" w14:textId="07C5727F" w:rsidR="00392C0C" w:rsidRPr="00E42077" w:rsidRDefault="00392C0C" w:rsidP="00CF6C10">
            <w:pPr>
              <w:pStyle w:val="TableText"/>
            </w:pPr>
            <w:r w:rsidRPr="00E42077">
              <w:rPr>
                <w:color w:val="000000"/>
              </w:rPr>
              <w:t>Life cycle / Nauplii stage</w:t>
            </w:r>
            <w:r>
              <w:rPr>
                <w:color w:val="000000"/>
              </w:rPr>
              <w:t> </w:t>
            </w:r>
            <w:r w:rsidRPr="00E42077">
              <w:rPr>
                <w:color w:val="000000"/>
              </w:rPr>
              <w:t>I</w:t>
            </w:r>
          </w:p>
        </w:tc>
        <w:tc>
          <w:tcPr>
            <w:tcW w:w="546" w:type="pct"/>
          </w:tcPr>
          <w:p w14:paraId="6DE3535D" w14:textId="77777777" w:rsidR="00392C0C" w:rsidRPr="00E42077" w:rsidRDefault="00392C0C" w:rsidP="00CF6C10">
            <w:pPr>
              <w:pStyle w:val="TableText"/>
            </w:pPr>
            <w:r w:rsidRPr="00E42077">
              <w:rPr>
                <w:color w:val="000000"/>
              </w:rPr>
              <w:t>12</w:t>
            </w:r>
            <w:r>
              <w:rPr>
                <w:color w:val="000000"/>
              </w:rPr>
              <w:t>, 21</w:t>
            </w:r>
          </w:p>
        </w:tc>
        <w:tc>
          <w:tcPr>
            <w:tcW w:w="1095" w:type="pct"/>
          </w:tcPr>
          <w:p w14:paraId="45020B00" w14:textId="2250F395" w:rsidR="00392C0C" w:rsidRPr="00E42077" w:rsidRDefault="00392C0C" w:rsidP="00CF6C10">
            <w:pPr>
              <w:pStyle w:val="TableText"/>
            </w:pPr>
            <w:r w:rsidRPr="00E42077">
              <w:rPr>
                <w:color w:val="000000"/>
              </w:rPr>
              <w:t>Chronic NOEL</w:t>
            </w:r>
            <w:r w:rsidR="00055895">
              <w:rPr>
                <w:color w:val="000000"/>
              </w:rPr>
              <w:br/>
            </w:r>
            <w:r w:rsidRPr="00E42077">
              <w:rPr>
                <w:color w:val="000000"/>
              </w:rPr>
              <w:t>(</w:t>
            </w:r>
            <w:r>
              <w:rPr>
                <w:color w:val="000000"/>
              </w:rPr>
              <w:t>Reproduction, development</w:t>
            </w:r>
            <w:r w:rsidRPr="00E42077">
              <w:rPr>
                <w:color w:val="000000"/>
              </w:rPr>
              <w:t>)</w:t>
            </w:r>
          </w:p>
        </w:tc>
        <w:tc>
          <w:tcPr>
            <w:tcW w:w="546" w:type="pct"/>
          </w:tcPr>
          <w:p w14:paraId="7A6CD9E3" w14:textId="77777777" w:rsidR="00392C0C" w:rsidRPr="00E42077" w:rsidRDefault="00392C0C" w:rsidP="00CF6C10">
            <w:pPr>
              <w:pStyle w:val="TableText"/>
            </w:pPr>
            <w:r w:rsidRPr="00E42077">
              <w:rPr>
                <w:color w:val="000000"/>
              </w:rPr>
              <w:t>0.16</w:t>
            </w:r>
          </w:p>
        </w:tc>
        <w:tc>
          <w:tcPr>
            <w:tcW w:w="546" w:type="pct"/>
          </w:tcPr>
          <w:p w14:paraId="3CEFBFF8" w14:textId="77777777" w:rsidR="00392C0C" w:rsidRPr="00E42077" w:rsidRDefault="00392C0C" w:rsidP="00CF6C10">
            <w:pPr>
              <w:pStyle w:val="TableText"/>
            </w:pPr>
            <w:r w:rsidRPr="00E42077">
              <w:rPr>
                <w:color w:val="000000"/>
              </w:rPr>
              <w:t>0.16</w:t>
            </w:r>
          </w:p>
        </w:tc>
      </w:tr>
      <w:tr w:rsidR="00084E30" w:rsidRPr="00ED728C" w14:paraId="69A30BC1" w14:textId="77777777" w:rsidTr="00CC21A3">
        <w:trPr>
          <w:cantSplit/>
        </w:trPr>
        <w:tc>
          <w:tcPr>
            <w:tcW w:w="627" w:type="pct"/>
            <w:vMerge/>
          </w:tcPr>
          <w:p w14:paraId="699B9E64" w14:textId="752F1A0A" w:rsidR="00392C0C" w:rsidRPr="00E42077" w:rsidRDefault="00392C0C" w:rsidP="00CF6C10">
            <w:pPr>
              <w:pStyle w:val="TableText"/>
              <w:rPr>
                <w:color w:val="000000"/>
              </w:rPr>
            </w:pPr>
          </w:p>
        </w:tc>
        <w:tc>
          <w:tcPr>
            <w:tcW w:w="859" w:type="pct"/>
          </w:tcPr>
          <w:p w14:paraId="121840BE" w14:textId="77777777" w:rsidR="00392C0C" w:rsidRPr="00E42077" w:rsidRDefault="00392C0C" w:rsidP="00CF6C10">
            <w:pPr>
              <w:pStyle w:val="TableText"/>
              <w:rPr>
                <w:i/>
                <w:iCs/>
                <w:color w:val="000000"/>
              </w:rPr>
            </w:pPr>
            <w:r w:rsidRPr="00E42077">
              <w:rPr>
                <w:i/>
                <w:color w:val="000000"/>
              </w:rPr>
              <w:t>Palaemonetes pugio</w:t>
            </w:r>
          </w:p>
        </w:tc>
        <w:tc>
          <w:tcPr>
            <w:tcW w:w="781" w:type="pct"/>
          </w:tcPr>
          <w:p w14:paraId="47786767" w14:textId="77777777" w:rsidR="00392C0C" w:rsidRPr="00E42077" w:rsidRDefault="00392C0C" w:rsidP="00CF6C10">
            <w:pPr>
              <w:pStyle w:val="TableText"/>
            </w:pPr>
            <w:r w:rsidRPr="00E42077">
              <w:rPr>
                <w:color w:val="000000"/>
              </w:rPr>
              <w:t>Adult</w:t>
            </w:r>
          </w:p>
        </w:tc>
        <w:tc>
          <w:tcPr>
            <w:tcW w:w="546" w:type="pct"/>
          </w:tcPr>
          <w:p w14:paraId="7123C4F7" w14:textId="77777777" w:rsidR="00392C0C" w:rsidRPr="00E42077" w:rsidRDefault="00392C0C" w:rsidP="00CF6C10">
            <w:pPr>
              <w:pStyle w:val="TableText"/>
            </w:pPr>
            <w:r w:rsidRPr="00E42077">
              <w:rPr>
                <w:color w:val="000000"/>
              </w:rPr>
              <w:t>45</w:t>
            </w:r>
          </w:p>
        </w:tc>
        <w:tc>
          <w:tcPr>
            <w:tcW w:w="1095" w:type="pct"/>
          </w:tcPr>
          <w:p w14:paraId="04481CD0" w14:textId="2F8E42C9" w:rsidR="00392C0C" w:rsidRPr="00E42077" w:rsidRDefault="00392C0C" w:rsidP="00CF6C10">
            <w:pPr>
              <w:pStyle w:val="TableText"/>
            </w:pPr>
            <w:r w:rsidRPr="00E42077">
              <w:rPr>
                <w:color w:val="000000"/>
              </w:rPr>
              <w:t>Chronic NOEC</w:t>
            </w:r>
            <w:r w:rsidR="00055895">
              <w:rPr>
                <w:color w:val="000000"/>
              </w:rPr>
              <w:br/>
            </w:r>
            <w:r w:rsidRPr="00E42077">
              <w:rPr>
                <w:color w:val="000000"/>
              </w:rPr>
              <w:t>(Survival)</w:t>
            </w:r>
          </w:p>
        </w:tc>
        <w:tc>
          <w:tcPr>
            <w:tcW w:w="546" w:type="pct"/>
          </w:tcPr>
          <w:p w14:paraId="5D860C63" w14:textId="66FA3A31" w:rsidR="00392C0C" w:rsidRPr="00E42077" w:rsidRDefault="00392C0C" w:rsidP="00CF6C10">
            <w:pPr>
              <w:pStyle w:val="TableText"/>
            </w:pPr>
            <w:r w:rsidRPr="00E42077">
              <w:rPr>
                <w:color w:val="000000"/>
              </w:rPr>
              <w:t xml:space="preserve">0.098 </w:t>
            </w:r>
          </w:p>
        </w:tc>
        <w:tc>
          <w:tcPr>
            <w:tcW w:w="546" w:type="pct"/>
          </w:tcPr>
          <w:p w14:paraId="7A960DF9" w14:textId="77777777" w:rsidR="00392C0C" w:rsidRPr="00E42077" w:rsidRDefault="00392C0C" w:rsidP="00CF6C10">
            <w:pPr>
              <w:pStyle w:val="TableText"/>
            </w:pPr>
            <w:r w:rsidRPr="00E42077">
              <w:rPr>
                <w:color w:val="000000"/>
              </w:rPr>
              <w:t>0.098</w:t>
            </w:r>
          </w:p>
        </w:tc>
      </w:tr>
      <w:tr w:rsidR="00392C0C" w:rsidRPr="00ED728C" w14:paraId="2C21A99D" w14:textId="77777777" w:rsidTr="00392C0C">
        <w:trPr>
          <w:cantSplit/>
        </w:trPr>
        <w:tc>
          <w:tcPr>
            <w:tcW w:w="5000" w:type="pct"/>
            <w:gridSpan w:val="7"/>
          </w:tcPr>
          <w:p w14:paraId="372BF34D" w14:textId="52267ED6" w:rsidR="00392C0C" w:rsidRPr="00ED728C" w:rsidRDefault="00392C0C" w:rsidP="00CF6C10">
            <w:pPr>
              <w:pStyle w:val="TableHeading"/>
              <w:keepNext w:val="0"/>
            </w:pPr>
            <w:r>
              <w:t>Freshwater</w:t>
            </w:r>
          </w:p>
        </w:tc>
      </w:tr>
      <w:tr w:rsidR="00084E30" w:rsidRPr="00ED728C" w14:paraId="5EE0A74E" w14:textId="77777777" w:rsidTr="00CC21A3">
        <w:trPr>
          <w:cantSplit/>
        </w:trPr>
        <w:tc>
          <w:tcPr>
            <w:tcW w:w="627" w:type="pct"/>
            <w:vMerge w:val="restart"/>
          </w:tcPr>
          <w:p w14:paraId="36C65C60" w14:textId="0A6F87BF" w:rsidR="00392C0C" w:rsidRPr="00ED728C" w:rsidRDefault="00392C0C" w:rsidP="00CF614A">
            <w:pPr>
              <w:pStyle w:val="TableText"/>
              <w:rPr>
                <w:color w:val="000000"/>
              </w:rPr>
            </w:pPr>
            <w:r>
              <w:rPr>
                <w:color w:val="000000"/>
              </w:rPr>
              <w:t>Crustacean</w:t>
            </w:r>
          </w:p>
        </w:tc>
        <w:tc>
          <w:tcPr>
            <w:tcW w:w="859" w:type="pct"/>
          </w:tcPr>
          <w:p w14:paraId="72D2A377" w14:textId="77777777" w:rsidR="00392C0C" w:rsidRPr="00ED728C" w:rsidRDefault="00392C0C" w:rsidP="00CF614A">
            <w:pPr>
              <w:pStyle w:val="TableText"/>
              <w:rPr>
                <w:i/>
                <w:iCs/>
                <w:color w:val="000000"/>
              </w:rPr>
            </w:pPr>
            <w:r w:rsidRPr="00ED728C">
              <w:rPr>
                <w:i/>
                <w:iCs/>
                <w:color w:val="000000"/>
              </w:rPr>
              <w:t>Acanthocyclops robustus</w:t>
            </w:r>
          </w:p>
        </w:tc>
        <w:tc>
          <w:tcPr>
            <w:tcW w:w="781" w:type="pct"/>
          </w:tcPr>
          <w:p w14:paraId="15D60F35" w14:textId="73B75B9D" w:rsidR="00392C0C" w:rsidRPr="00ED728C" w:rsidRDefault="00392C0C" w:rsidP="00CF614A">
            <w:pPr>
              <w:pStyle w:val="TableText"/>
            </w:pPr>
            <w:r>
              <w:rPr>
                <w:color w:val="000000"/>
              </w:rPr>
              <w:t>–</w:t>
            </w:r>
          </w:p>
        </w:tc>
        <w:tc>
          <w:tcPr>
            <w:tcW w:w="546" w:type="pct"/>
          </w:tcPr>
          <w:p w14:paraId="50122B36" w14:textId="77777777" w:rsidR="00392C0C" w:rsidRPr="00ED728C" w:rsidRDefault="00392C0C" w:rsidP="00CF614A">
            <w:pPr>
              <w:pStyle w:val="TableText"/>
            </w:pPr>
            <w:r w:rsidRPr="00ED728C">
              <w:rPr>
                <w:color w:val="000000"/>
              </w:rPr>
              <w:t>2</w:t>
            </w:r>
          </w:p>
        </w:tc>
        <w:tc>
          <w:tcPr>
            <w:tcW w:w="1095" w:type="pct"/>
          </w:tcPr>
          <w:p w14:paraId="641090FB" w14:textId="754DBBDE" w:rsidR="00392C0C" w:rsidRPr="00ED728C" w:rsidRDefault="00392C0C" w:rsidP="00CF614A">
            <w:pPr>
              <w:pStyle w:val="TableText"/>
            </w:pPr>
            <w:r>
              <w:rPr>
                <w:color w:val="000000"/>
              </w:rPr>
              <w:t>Acute LC50</w:t>
            </w:r>
            <w:r w:rsidR="00055895">
              <w:rPr>
                <w:color w:val="000000"/>
              </w:rPr>
              <w:br/>
            </w:r>
            <w:r w:rsidRPr="00ED728C">
              <w:rPr>
                <w:color w:val="000000"/>
              </w:rPr>
              <w:t>(Mortality)</w:t>
            </w:r>
          </w:p>
        </w:tc>
        <w:tc>
          <w:tcPr>
            <w:tcW w:w="546" w:type="pct"/>
          </w:tcPr>
          <w:p w14:paraId="6A96C945" w14:textId="77777777" w:rsidR="00392C0C" w:rsidRPr="00ED728C" w:rsidRDefault="00392C0C" w:rsidP="00CF614A">
            <w:pPr>
              <w:pStyle w:val="TableText"/>
            </w:pPr>
            <w:r w:rsidRPr="00ED728C">
              <w:rPr>
                <w:color w:val="000000"/>
              </w:rPr>
              <w:t>84.9</w:t>
            </w:r>
            <w:r>
              <w:rPr>
                <w:color w:val="000000"/>
              </w:rPr>
              <w:t xml:space="preserve"> </w:t>
            </w:r>
            <w:r w:rsidRPr="00713503">
              <w:rPr>
                <w:rStyle w:val="Strong"/>
                <w:vertAlign w:val="superscript"/>
              </w:rPr>
              <w:t>b</w:t>
            </w:r>
          </w:p>
        </w:tc>
        <w:tc>
          <w:tcPr>
            <w:tcW w:w="546" w:type="pct"/>
          </w:tcPr>
          <w:p w14:paraId="35B43EF9" w14:textId="77777777" w:rsidR="00392C0C" w:rsidRPr="00ED728C" w:rsidRDefault="00392C0C" w:rsidP="00CF614A">
            <w:pPr>
              <w:pStyle w:val="TableText"/>
            </w:pPr>
            <w:r w:rsidRPr="00ED728C">
              <w:rPr>
                <w:color w:val="000000"/>
              </w:rPr>
              <w:t>8.49</w:t>
            </w:r>
          </w:p>
        </w:tc>
      </w:tr>
      <w:tr w:rsidR="00084E30" w:rsidRPr="00ED728C" w14:paraId="14095E19" w14:textId="77777777" w:rsidTr="00CC21A3">
        <w:trPr>
          <w:cantSplit/>
        </w:trPr>
        <w:tc>
          <w:tcPr>
            <w:tcW w:w="627" w:type="pct"/>
            <w:vMerge/>
          </w:tcPr>
          <w:p w14:paraId="1EFC4DF9" w14:textId="111059D5" w:rsidR="00392C0C" w:rsidRPr="00E42077" w:rsidRDefault="00392C0C" w:rsidP="00CF614A">
            <w:pPr>
              <w:pStyle w:val="TableText"/>
              <w:rPr>
                <w:color w:val="000000"/>
              </w:rPr>
            </w:pPr>
          </w:p>
        </w:tc>
        <w:tc>
          <w:tcPr>
            <w:tcW w:w="859" w:type="pct"/>
          </w:tcPr>
          <w:p w14:paraId="5048156F" w14:textId="5E40DDC5" w:rsidR="00392C0C" w:rsidRPr="00E42077" w:rsidRDefault="00392C0C" w:rsidP="00CF614A">
            <w:pPr>
              <w:pStyle w:val="TableText"/>
              <w:rPr>
                <w:i/>
                <w:iCs/>
                <w:color w:val="000000"/>
              </w:rPr>
            </w:pPr>
            <w:r w:rsidRPr="00E42077">
              <w:rPr>
                <w:i/>
                <w:iCs/>
                <w:color w:val="000000"/>
              </w:rPr>
              <w:t>Diaptomus castor</w:t>
            </w:r>
          </w:p>
        </w:tc>
        <w:tc>
          <w:tcPr>
            <w:tcW w:w="781" w:type="pct"/>
          </w:tcPr>
          <w:p w14:paraId="786B2434" w14:textId="7C3A2FFC" w:rsidR="00392C0C" w:rsidRPr="00E42077" w:rsidRDefault="00392C0C" w:rsidP="00CF614A">
            <w:pPr>
              <w:pStyle w:val="TableText"/>
              <w:rPr>
                <w:color w:val="000000"/>
              </w:rPr>
            </w:pPr>
            <w:r>
              <w:rPr>
                <w:color w:val="000000"/>
              </w:rPr>
              <w:t>–</w:t>
            </w:r>
          </w:p>
        </w:tc>
        <w:tc>
          <w:tcPr>
            <w:tcW w:w="546" w:type="pct"/>
          </w:tcPr>
          <w:p w14:paraId="4158D9C6" w14:textId="0D60708C" w:rsidR="00392C0C" w:rsidRPr="00E42077" w:rsidRDefault="00392C0C" w:rsidP="00CF614A">
            <w:pPr>
              <w:pStyle w:val="TableText"/>
              <w:rPr>
                <w:color w:val="000000"/>
              </w:rPr>
            </w:pPr>
            <w:r w:rsidRPr="00E42077">
              <w:rPr>
                <w:color w:val="000000"/>
              </w:rPr>
              <w:t>2</w:t>
            </w:r>
          </w:p>
        </w:tc>
        <w:tc>
          <w:tcPr>
            <w:tcW w:w="1095" w:type="pct"/>
          </w:tcPr>
          <w:p w14:paraId="08A75694" w14:textId="5A678CBC" w:rsidR="00392C0C" w:rsidRPr="00E42077" w:rsidRDefault="00392C0C" w:rsidP="00CF614A">
            <w:pPr>
              <w:pStyle w:val="TableText"/>
              <w:rPr>
                <w:color w:val="000000"/>
              </w:rPr>
            </w:pPr>
            <w:r w:rsidRPr="00E42077">
              <w:rPr>
                <w:color w:val="000000"/>
              </w:rPr>
              <w:t>Acute LC50</w:t>
            </w:r>
            <w:r w:rsidR="00055895">
              <w:rPr>
                <w:color w:val="000000"/>
              </w:rPr>
              <w:br/>
            </w:r>
            <w:r w:rsidRPr="00E42077">
              <w:rPr>
                <w:color w:val="000000"/>
              </w:rPr>
              <w:t>(Mortality)</w:t>
            </w:r>
          </w:p>
        </w:tc>
        <w:tc>
          <w:tcPr>
            <w:tcW w:w="546" w:type="pct"/>
          </w:tcPr>
          <w:p w14:paraId="16B1107C" w14:textId="4B0FC6B8" w:rsidR="00392C0C" w:rsidRDefault="00392C0C" w:rsidP="00CF614A">
            <w:pPr>
              <w:pStyle w:val="TableText"/>
              <w:rPr>
                <w:color w:val="000000"/>
              </w:rPr>
            </w:pPr>
            <w:r w:rsidRPr="00E42077">
              <w:rPr>
                <w:color w:val="000000"/>
              </w:rPr>
              <w:t>3.</w:t>
            </w:r>
            <w:r>
              <w:rPr>
                <w:color w:val="000000"/>
              </w:rPr>
              <w:t>4</w:t>
            </w:r>
            <w:r w:rsidRPr="00E42077">
              <w:rPr>
                <w:color w:val="000000"/>
              </w:rPr>
              <w:t xml:space="preserve">5 </w:t>
            </w:r>
            <w:r w:rsidRPr="00713503">
              <w:rPr>
                <w:rStyle w:val="Strong"/>
                <w:vertAlign w:val="superscript"/>
              </w:rPr>
              <w:t>b</w:t>
            </w:r>
          </w:p>
        </w:tc>
        <w:tc>
          <w:tcPr>
            <w:tcW w:w="546" w:type="pct"/>
          </w:tcPr>
          <w:p w14:paraId="21D218AD" w14:textId="3FC9BD76" w:rsidR="00392C0C" w:rsidRDefault="00392C0C" w:rsidP="00CF614A">
            <w:pPr>
              <w:pStyle w:val="TableText"/>
              <w:rPr>
                <w:color w:val="000000"/>
              </w:rPr>
            </w:pPr>
            <w:r w:rsidRPr="00E42077">
              <w:rPr>
                <w:color w:val="000000"/>
              </w:rPr>
              <w:t>0.3</w:t>
            </w:r>
            <w:r>
              <w:rPr>
                <w:color w:val="000000"/>
              </w:rPr>
              <w:t>4</w:t>
            </w:r>
            <w:r w:rsidRPr="00E42077">
              <w:rPr>
                <w:color w:val="000000"/>
              </w:rPr>
              <w:t>5</w:t>
            </w:r>
          </w:p>
        </w:tc>
      </w:tr>
      <w:tr w:rsidR="00084E30" w:rsidRPr="00ED728C" w14:paraId="56E0D3A1" w14:textId="77777777" w:rsidTr="00CC21A3">
        <w:trPr>
          <w:cantSplit/>
        </w:trPr>
        <w:tc>
          <w:tcPr>
            <w:tcW w:w="627" w:type="pct"/>
            <w:vMerge/>
          </w:tcPr>
          <w:p w14:paraId="57D0A098" w14:textId="7C963A0D" w:rsidR="00392C0C" w:rsidRPr="00E42077" w:rsidRDefault="00392C0C" w:rsidP="00CF614A">
            <w:pPr>
              <w:pStyle w:val="TableText"/>
              <w:rPr>
                <w:color w:val="000000"/>
              </w:rPr>
            </w:pPr>
          </w:p>
        </w:tc>
        <w:tc>
          <w:tcPr>
            <w:tcW w:w="859" w:type="pct"/>
          </w:tcPr>
          <w:p w14:paraId="79ADD536" w14:textId="232240D6" w:rsidR="00392C0C" w:rsidRPr="00E42077" w:rsidRDefault="00392C0C" w:rsidP="00CF614A">
            <w:pPr>
              <w:pStyle w:val="TableText"/>
              <w:rPr>
                <w:i/>
                <w:iCs/>
                <w:color w:val="000000"/>
              </w:rPr>
            </w:pPr>
            <w:r w:rsidRPr="00E42077">
              <w:rPr>
                <w:i/>
                <w:iCs/>
                <w:color w:val="000000"/>
              </w:rPr>
              <w:t xml:space="preserve">Ceriodaphnia dubia </w:t>
            </w:r>
            <w:r>
              <w:rPr>
                <w:rStyle w:val="Strong"/>
                <w:vertAlign w:val="superscript"/>
              </w:rPr>
              <w:t>d</w:t>
            </w:r>
          </w:p>
        </w:tc>
        <w:tc>
          <w:tcPr>
            <w:tcW w:w="781" w:type="pct"/>
          </w:tcPr>
          <w:p w14:paraId="1CD96B56" w14:textId="2AFD044F" w:rsidR="00392C0C" w:rsidRPr="00E42077" w:rsidRDefault="00392C0C" w:rsidP="00CF614A">
            <w:pPr>
              <w:pStyle w:val="TableText"/>
              <w:rPr>
                <w:color w:val="000000"/>
              </w:rPr>
            </w:pPr>
            <w:r w:rsidRPr="00E42077">
              <w:rPr>
                <w:color w:val="000000"/>
              </w:rPr>
              <w:t>Neonate</w:t>
            </w:r>
          </w:p>
        </w:tc>
        <w:tc>
          <w:tcPr>
            <w:tcW w:w="546" w:type="pct"/>
          </w:tcPr>
          <w:p w14:paraId="5BF77950" w14:textId="254D8AAC" w:rsidR="00392C0C" w:rsidRPr="00E42077" w:rsidRDefault="00392C0C" w:rsidP="00CF614A">
            <w:pPr>
              <w:pStyle w:val="TableText"/>
              <w:rPr>
                <w:color w:val="000000"/>
              </w:rPr>
            </w:pPr>
            <w:r w:rsidRPr="00E42077">
              <w:rPr>
                <w:color w:val="000000"/>
              </w:rPr>
              <w:t>8</w:t>
            </w:r>
          </w:p>
        </w:tc>
        <w:tc>
          <w:tcPr>
            <w:tcW w:w="1095" w:type="pct"/>
          </w:tcPr>
          <w:p w14:paraId="3FF5DF4F" w14:textId="7440AAF5" w:rsidR="00392C0C" w:rsidRPr="00E42077" w:rsidRDefault="00392C0C" w:rsidP="00CF614A">
            <w:pPr>
              <w:pStyle w:val="TableText"/>
              <w:rPr>
                <w:color w:val="000000"/>
              </w:rPr>
            </w:pPr>
            <w:r w:rsidRPr="00E42077">
              <w:rPr>
                <w:color w:val="000000"/>
              </w:rPr>
              <w:t>Chronic LOEC</w:t>
            </w:r>
            <w:r w:rsidR="00055895">
              <w:rPr>
                <w:color w:val="000000"/>
              </w:rPr>
              <w:br/>
            </w:r>
            <w:r w:rsidRPr="00E42077">
              <w:rPr>
                <w:color w:val="000000"/>
              </w:rPr>
              <w:t>(Fecundity,</w:t>
            </w:r>
            <w:r>
              <w:rPr>
                <w:color w:val="000000"/>
              </w:rPr>
              <w:t xml:space="preserve"> </w:t>
            </w:r>
            <w:r w:rsidRPr="00E42077">
              <w:rPr>
                <w:color w:val="000000"/>
              </w:rPr>
              <w:t>brood size)</w:t>
            </w:r>
          </w:p>
        </w:tc>
        <w:tc>
          <w:tcPr>
            <w:tcW w:w="546" w:type="pct"/>
          </w:tcPr>
          <w:p w14:paraId="5684AD18" w14:textId="792FC0B3" w:rsidR="00392C0C" w:rsidRPr="00E42077" w:rsidRDefault="00392C0C" w:rsidP="00CF614A">
            <w:pPr>
              <w:pStyle w:val="TableText"/>
              <w:rPr>
                <w:color w:val="000000"/>
              </w:rPr>
            </w:pPr>
            <w:r>
              <w:rPr>
                <w:color w:val="000000"/>
              </w:rPr>
              <w:t>2</w:t>
            </w:r>
            <w:r w:rsidRPr="00E42077">
              <w:rPr>
                <w:color w:val="000000"/>
              </w:rPr>
              <w:t xml:space="preserve"> </w:t>
            </w:r>
            <w:r w:rsidRPr="00713503">
              <w:rPr>
                <w:rStyle w:val="Strong"/>
                <w:vertAlign w:val="superscript"/>
              </w:rPr>
              <w:t>c</w:t>
            </w:r>
          </w:p>
        </w:tc>
        <w:tc>
          <w:tcPr>
            <w:tcW w:w="546" w:type="pct"/>
          </w:tcPr>
          <w:p w14:paraId="3AF151ED" w14:textId="38009BEC" w:rsidR="00392C0C" w:rsidRPr="00E42077" w:rsidRDefault="00392C0C" w:rsidP="00CF614A">
            <w:pPr>
              <w:pStyle w:val="TableText"/>
              <w:rPr>
                <w:color w:val="000000"/>
              </w:rPr>
            </w:pPr>
            <w:r>
              <w:rPr>
                <w:color w:val="000000"/>
              </w:rPr>
              <w:t>0.8</w:t>
            </w:r>
          </w:p>
        </w:tc>
      </w:tr>
      <w:tr w:rsidR="00084E30" w:rsidRPr="00ED728C" w14:paraId="2F56E64B" w14:textId="77777777" w:rsidTr="00CC21A3">
        <w:trPr>
          <w:cantSplit/>
        </w:trPr>
        <w:tc>
          <w:tcPr>
            <w:tcW w:w="627" w:type="pct"/>
            <w:vMerge/>
          </w:tcPr>
          <w:p w14:paraId="07EA0B2F" w14:textId="456D0D22" w:rsidR="00392C0C" w:rsidRPr="00E42077" w:rsidRDefault="00392C0C" w:rsidP="00CF614A">
            <w:pPr>
              <w:pStyle w:val="TableText"/>
              <w:rPr>
                <w:color w:val="000000"/>
              </w:rPr>
            </w:pPr>
          </w:p>
        </w:tc>
        <w:tc>
          <w:tcPr>
            <w:tcW w:w="859" w:type="pct"/>
          </w:tcPr>
          <w:p w14:paraId="38BBC305" w14:textId="4B6752D4" w:rsidR="00392C0C" w:rsidRPr="00E42077" w:rsidRDefault="00392C0C" w:rsidP="00CF614A">
            <w:pPr>
              <w:pStyle w:val="TableText"/>
              <w:rPr>
                <w:i/>
                <w:iCs/>
                <w:color w:val="000000"/>
              </w:rPr>
            </w:pPr>
            <w:r w:rsidRPr="00E42077">
              <w:rPr>
                <w:i/>
                <w:iCs/>
                <w:color w:val="000000"/>
              </w:rPr>
              <w:t>Daphnia magna</w:t>
            </w:r>
          </w:p>
        </w:tc>
        <w:tc>
          <w:tcPr>
            <w:tcW w:w="781" w:type="pct"/>
          </w:tcPr>
          <w:p w14:paraId="16357275" w14:textId="55E1675B" w:rsidR="00392C0C" w:rsidRPr="00E42077" w:rsidRDefault="00392C0C" w:rsidP="00CF614A">
            <w:pPr>
              <w:pStyle w:val="TableText"/>
              <w:rPr>
                <w:color w:val="000000"/>
              </w:rPr>
            </w:pPr>
            <w:r>
              <w:rPr>
                <w:color w:val="000000"/>
              </w:rPr>
              <w:t xml:space="preserve">Neonate </w:t>
            </w:r>
          </w:p>
        </w:tc>
        <w:tc>
          <w:tcPr>
            <w:tcW w:w="546" w:type="pct"/>
          </w:tcPr>
          <w:p w14:paraId="1B74AB9A" w14:textId="4346EDD1" w:rsidR="00392C0C" w:rsidRPr="00E42077" w:rsidRDefault="00392C0C" w:rsidP="00CF614A">
            <w:pPr>
              <w:pStyle w:val="TableText"/>
              <w:rPr>
                <w:color w:val="000000"/>
              </w:rPr>
            </w:pPr>
            <w:r w:rsidRPr="00E42077">
              <w:rPr>
                <w:color w:val="000000"/>
              </w:rPr>
              <w:t>21</w:t>
            </w:r>
          </w:p>
        </w:tc>
        <w:tc>
          <w:tcPr>
            <w:tcW w:w="1095" w:type="pct"/>
          </w:tcPr>
          <w:p w14:paraId="65E7F627" w14:textId="36EC1F8F" w:rsidR="00392C0C" w:rsidRPr="00E42077" w:rsidRDefault="00392C0C" w:rsidP="00CF614A">
            <w:pPr>
              <w:pStyle w:val="TableText"/>
              <w:rPr>
                <w:color w:val="000000"/>
              </w:rPr>
            </w:pPr>
            <w:r w:rsidRPr="00E42077">
              <w:rPr>
                <w:color w:val="000000"/>
              </w:rPr>
              <w:t>Chronic NOE</w:t>
            </w:r>
            <w:r w:rsidR="008E03FB">
              <w:rPr>
                <w:color w:val="000000"/>
              </w:rPr>
              <w:t>L</w:t>
            </w:r>
            <w:r w:rsidR="00055895">
              <w:rPr>
                <w:color w:val="000000"/>
              </w:rPr>
              <w:br/>
            </w:r>
            <w:r w:rsidRPr="00E42077">
              <w:rPr>
                <w:color w:val="000000"/>
              </w:rPr>
              <w:t>(</w:t>
            </w:r>
            <w:r>
              <w:rPr>
                <w:color w:val="000000"/>
              </w:rPr>
              <w:t>Growth</w:t>
            </w:r>
            <w:r w:rsidRPr="00E42077">
              <w:rPr>
                <w:color w:val="000000"/>
              </w:rPr>
              <w:t>)</w:t>
            </w:r>
          </w:p>
        </w:tc>
        <w:tc>
          <w:tcPr>
            <w:tcW w:w="546" w:type="pct"/>
          </w:tcPr>
          <w:p w14:paraId="0EDB33C0" w14:textId="2D27C66E" w:rsidR="00392C0C" w:rsidRPr="00E42077" w:rsidRDefault="00392C0C" w:rsidP="00CF614A">
            <w:pPr>
              <w:pStyle w:val="TableText"/>
              <w:rPr>
                <w:color w:val="000000"/>
              </w:rPr>
            </w:pPr>
            <w:r w:rsidRPr="00E42077">
              <w:rPr>
                <w:color w:val="000000"/>
              </w:rPr>
              <w:t xml:space="preserve">9.6 </w:t>
            </w:r>
          </w:p>
        </w:tc>
        <w:tc>
          <w:tcPr>
            <w:tcW w:w="546" w:type="pct"/>
          </w:tcPr>
          <w:p w14:paraId="0A5D10B7" w14:textId="7ADA331C" w:rsidR="00392C0C" w:rsidRPr="00E42077" w:rsidRDefault="00392C0C" w:rsidP="00CF614A">
            <w:pPr>
              <w:pStyle w:val="TableText"/>
              <w:rPr>
                <w:color w:val="000000"/>
              </w:rPr>
            </w:pPr>
            <w:r w:rsidRPr="00E42077">
              <w:rPr>
                <w:color w:val="000000"/>
              </w:rPr>
              <w:t>9.6</w:t>
            </w:r>
          </w:p>
        </w:tc>
      </w:tr>
      <w:tr w:rsidR="00084E30" w:rsidRPr="00ED728C" w14:paraId="2559BEFC" w14:textId="77777777" w:rsidTr="00CC21A3">
        <w:trPr>
          <w:cantSplit/>
        </w:trPr>
        <w:tc>
          <w:tcPr>
            <w:tcW w:w="627" w:type="pct"/>
            <w:vMerge/>
          </w:tcPr>
          <w:p w14:paraId="70BDF938" w14:textId="7AFC1CB4" w:rsidR="00392C0C" w:rsidRPr="00E42077" w:rsidRDefault="00392C0C" w:rsidP="00CF614A">
            <w:pPr>
              <w:pStyle w:val="TableText"/>
              <w:rPr>
                <w:color w:val="000000"/>
              </w:rPr>
            </w:pPr>
          </w:p>
        </w:tc>
        <w:tc>
          <w:tcPr>
            <w:tcW w:w="859" w:type="pct"/>
          </w:tcPr>
          <w:p w14:paraId="430ED2E1" w14:textId="75D2E487" w:rsidR="00392C0C" w:rsidRPr="00E42077" w:rsidRDefault="00392C0C" w:rsidP="00CF614A">
            <w:pPr>
              <w:pStyle w:val="TableText"/>
              <w:rPr>
                <w:i/>
                <w:iCs/>
                <w:color w:val="000000"/>
              </w:rPr>
            </w:pPr>
            <w:r w:rsidRPr="00E42077">
              <w:rPr>
                <w:i/>
                <w:color w:val="000000"/>
              </w:rPr>
              <w:t>Procambarus clarkii</w:t>
            </w:r>
          </w:p>
        </w:tc>
        <w:tc>
          <w:tcPr>
            <w:tcW w:w="781" w:type="pct"/>
          </w:tcPr>
          <w:p w14:paraId="2ABCCD31" w14:textId="36960DF9" w:rsidR="00392C0C" w:rsidRPr="00E42077" w:rsidRDefault="00392C0C" w:rsidP="00CF614A">
            <w:pPr>
              <w:pStyle w:val="TableText"/>
              <w:rPr>
                <w:color w:val="000000"/>
              </w:rPr>
            </w:pPr>
            <w:r w:rsidRPr="00E42077">
              <w:rPr>
                <w:color w:val="000000"/>
              </w:rPr>
              <w:t>Adult</w:t>
            </w:r>
          </w:p>
        </w:tc>
        <w:tc>
          <w:tcPr>
            <w:tcW w:w="546" w:type="pct"/>
          </w:tcPr>
          <w:p w14:paraId="2818A745" w14:textId="35A2D7E8" w:rsidR="00392C0C" w:rsidRPr="00E42077" w:rsidRDefault="00392C0C" w:rsidP="00CF614A">
            <w:pPr>
              <w:pStyle w:val="TableText"/>
              <w:rPr>
                <w:color w:val="000000"/>
              </w:rPr>
            </w:pPr>
            <w:r w:rsidRPr="00E42077">
              <w:rPr>
                <w:color w:val="000000"/>
              </w:rPr>
              <w:t>4</w:t>
            </w:r>
          </w:p>
        </w:tc>
        <w:tc>
          <w:tcPr>
            <w:tcW w:w="1095" w:type="pct"/>
          </w:tcPr>
          <w:p w14:paraId="54D5CD12" w14:textId="1C93658C" w:rsidR="00392C0C" w:rsidRPr="00E42077" w:rsidRDefault="00392C0C" w:rsidP="00CF614A">
            <w:pPr>
              <w:pStyle w:val="TableText"/>
              <w:rPr>
                <w:color w:val="000000"/>
              </w:rPr>
            </w:pPr>
            <w:r w:rsidRPr="00E42077">
              <w:rPr>
                <w:color w:val="000000"/>
              </w:rPr>
              <w:t>Acute LC50</w:t>
            </w:r>
            <w:r w:rsidR="00055895">
              <w:rPr>
                <w:color w:val="000000"/>
              </w:rPr>
              <w:br/>
            </w:r>
            <w:r w:rsidRPr="00E42077">
              <w:rPr>
                <w:color w:val="000000"/>
              </w:rPr>
              <w:t>(Mortality)</w:t>
            </w:r>
          </w:p>
        </w:tc>
        <w:tc>
          <w:tcPr>
            <w:tcW w:w="546" w:type="pct"/>
          </w:tcPr>
          <w:p w14:paraId="2928FE90" w14:textId="4C6D402A" w:rsidR="00392C0C" w:rsidRPr="00E42077" w:rsidRDefault="00392C0C" w:rsidP="00CF614A">
            <w:pPr>
              <w:pStyle w:val="TableText"/>
              <w:rPr>
                <w:color w:val="000000"/>
              </w:rPr>
            </w:pPr>
            <w:r w:rsidRPr="00E42077">
              <w:rPr>
                <w:color w:val="000000"/>
              </w:rPr>
              <w:t xml:space="preserve">14.3 </w:t>
            </w:r>
            <w:r w:rsidRPr="00713503">
              <w:rPr>
                <w:rStyle w:val="Strong"/>
                <w:vertAlign w:val="superscript"/>
              </w:rPr>
              <w:t>b</w:t>
            </w:r>
          </w:p>
        </w:tc>
        <w:tc>
          <w:tcPr>
            <w:tcW w:w="546" w:type="pct"/>
          </w:tcPr>
          <w:p w14:paraId="24BA97AE" w14:textId="16436D44" w:rsidR="00392C0C" w:rsidRPr="00E42077" w:rsidRDefault="00392C0C" w:rsidP="00CF614A">
            <w:pPr>
              <w:pStyle w:val="TableText"/>
              <w:rPr>
                <w:color w:val="000000"/>
              </w:rPr>
            </w:pPr>
            <w:r w:rsidRPr="00E42077">
              <w:rPr>
                <w:color w:val="000000"/>
              </w:rPr>
              <w:t>1.43</w:t>
            </w:r>
          </w:p>
        </w:tc>
      </w:tr>
      <w:tr w:rsidR="00084E30" w:rsidRPr="00ED728C" w14:paraId="7E09A087" w14:textId="77777777" w:rsidTr="00CC21A3">
        <w:trPr>
          <w:cantSplit/>
        </w:trPr>
        <w:tc>
          <w:tcPr>
            <w:tcW w:w="627" w:type="pct"/>
            <w:vMerge/>
          </w:tcPr>
          <w:p w14:paraId="7FFE03E2" w14:textId="34E6188E" w:rsidR="00392C0C" w:rsidRPr="00E42077" w:rsidRDefault="00392C0C" w:rsidP="00CF614A">
            <w:pPr>
              <w:pStyle w:val="TableText"/>
              <w:rPr>
                <w:color w:val="000000"/>
              </w:rPr>
            </w:pPr>
          </w:p>
        </w:tc>
        <w:tc>
          <w:tcPr>
            <w:tcW w:w="859" w:type="pct"/>
          </w:tcPr>
          <w:p w14:paraId="4EE7EA83" w14:textId="71047895" w:rsidR="00392C0C" w:rsidRPr="00E42077" w:rsidRDefault="00392C0C" w:rsidP="00CF614A">
            <w:pPr>
              <w:pStyle w:val="TableText"/>
              <w:rPr>
                <w:i/>
                <w:iCs/>
                <w:color w:val="000000"/>
              </w:rPr>
            </w:pPr>
            <w:r w:rsidRPr="00E42077">
              <w:rPr>
                <w:i/>
                <w:color w:val="000000"/>
              </w:rPr>
              <w:t>Procambarus zonangulus</w:t>
            </w:r>
          </w:p>
        </w:tc>
        <w:tc>
          <w:tcPr>
            <w:tcW w:w="781" w:type="pct"/>
          </w:tcPr>
          <w:p w14:paraId="321C95B5" w14:textId="1415F402" w:rsidR="00392C0C" w:rsidRPr="00E42077" w:rsidRDefault="00392C0C" w:rsidP="00CF614A">
            <w:pPr>
              <w:pStyle w:val="TableText"/>
              <w:rPr>
                <w:color w:val="000000"/>
              </w:rPr>
            </w:pPr>
            <w:r>
              <w:rPr>
                <w:color w:val="000000"/>
              </w:rPr>
              <w:t>Adult</w:t>
            </w:r>
          </w:p>
        </w:tc>
        <w:tc>
          <w:tcPr>
            <w:tcW w:w="546" w:type="pct"/>
          </w:tcPr>
          <w:p w14:paraId="0DA80CBC" w14:textId="45229A67" w:rsidR="00392C0C" w:rsidRPr="00E42077" w:rsidRDefault="00392C0C" w:rsidP="00CF614A">
            <w:pPr>
              <w:pStyle w:val="TableText"/>
              <w:rPr>
                <w:color w:val="000000"/>
              </w:rPr>
            </w:pPr>
            <w:r w:rsidRPr="00E42077">
              <w:rPr>
                <w:color w:val="000000"/>
              </w:rPr>
              <w:t>4</w:t>
            </w:r>
          </w:p>
        </w:tc>
        <w:tc>
          <w:tcPr>
            <w:tcW w:w="1095" w:type="pct"/>
          </w:tcPr>
          <w:p w14:paraId="02FD42D2" w14:textId="707798EC" w:rsidR="00392C0C" w:rsidRPr="00E42077" w:rsidRDefault="00392C0C" w:rsidP="00CF614A">
            <w:pPr>
              <w:pStyle w:val="TableText"/>
              <w:rPr>
                <w:color w:val="000000"/>
              </w:rPr>
            </w:pPr>
            <w:r w:rsidRPr="00E42077">
              <w:rPr>
                <w:color w:val="000000"/>
              </w:rPr>
              <w:t>Acute LC50</w:t>
            </w:r>
            <w:r w:rsidR="00055895">
              <w:rPr>
                <w:color w:val="000000"/>
              </w:rPr>
              <w:br/>
            </w:r>
            <w:r w:rsidRPr="00E42077">
              <w:rPr>
                <w:color w:val="000000"/>
              </w:rPr>
              <w:t>(Mortality)</w:t>
            </w:r>
          </w:p>
        </w:tc>
        <w:tc>
          <w:tcPr>
            <w:tcW w:w="546" w:type="pct"/>
          </w:tcPr>
          <w:p w14:paraId="48F92072" w14:textId="62A57269" w:rsidR="00392C0C" w:rsidRPr="00E42077" w:rsidRDefault="00392C0C" w:rsidP="00CF614A">
            <w:pPr>
              <w:pStyle w:val="TableText"/>
              <w:rPr>
                <w:color w:val="000000"/>
              </w:rPr>
            </w:pPr>
            <w:r w:rsidRPr="00E42077">
              <w:rPr>
                <w:color w:val="000000"/>
              </w:rPr>
              <w:t xml:space="preserve">19.5 </w:t>
            </w:r>
            <w:r w:rsidRPr="00713503">
              <w:rPr>
                <w:rStyle w:val="Strong"/>
                <w:vertAlign w:val="superscript"/>
              </w:rPr>
              <w:t>b</w:t>
            </w:r>
          </w:p>
        </w:tc>
        <w:tc>
          <w:tcPr>
            <w:tcW w:w="546" w:type="pct"/>
          </w:tcPr>
          <w:p w14:paraId="185E8B10" w14:textId="00232048" w:rsidR="00392C0C" w:rsidRPr="00E42077" w:rsidRDefault="00392C0C" w:rsidP="00CF614A">
            <w:pPr>
              <w:pStyle w:val="TableText"/>
              <w:rPr>
                <w:color w:val="000000"/>
              </w:rPr>
            </w:pPr>
            <w:r w:rsidRPr="00E42077">
              <w:rPr>
                <w:color w:val="000000"/>
              </w:rPr>
              <w:t>1.95</w:t>
            </w:r>
          </w:p>
        </w:tc>
      </w:tr>
      <w:tr w:rsidR="00084E30" w:rsidRPr="00ED728C" w14:paraId="149B991A" w14:textId="77777777" w:rsidTr="00CC21A3">
        <w:trPr>
          <w:cantSplit/>
        </w:trPr>
        <w:tc>
          <w:tcPr>
            <w:tcW w:w="627" w:type="pct"/>
            <w:vMerge/>
          </w:tcPr>
          <w:p w14:paraId="43631945" w14:textId="7A48E077" w:rsidR="00392C0C" w:rsidRPr="00E42077" w:rsidRDefault="00392C0C" w:rsidP="00CF614A">
            <w:pPr>
              <w:pStyle w:val="TableText"/>
              <w:rPr>
                <w:color w:val="000000"/>
              </w:rPr>
            </w:pPr>
          </w:p>
        </w:tc>
        <w:tc>
          <w:tcPr>
            <w:tcW w:w="859" w:type="pct"/>
          </w:tcPr>
          <w:p w14:paraId="4BCD4F45" w14:textId="69F4266D" w:rsidR="00392C0C" w:rsidRPr="00E42077" w:rsidRDefault="00392C0C" w:rsidP="00CF614A">
            <w:pPr>
              <w:pStyle w:val="TableText"/>
              <w:rPr>
                <w:i/>
                <w:iCs/>
                <w:color w:val="000000"/>
              </w:rPr>
            </w:pPr>
            <w:r w:rsidRPr="00E42077">
              <w:rPr>
                <w:i/>
                <w:color w:val="000000"/>
              </w:rPr>
              <w:t xml:space="preserve">Simocephalus elizabethae </w:t>
            </w:r>
            <w:r>
              <w:rPr>
                <w:rStyle w:val="Strong"/>
                <w:vertAlign w:val="superscript"/>
              </w:rPr>
              <w:t>d</w:t>
            </w:r>
          </w:p>
        </w:tc>
        <w:tc>
          <w:tcPr>
            <w:tcW w:w="781" w:type="pct"/>
          </w:tcPr>
          <w:p w14:paraId="1E66F6CA" w14:textId="0908314E" w:rsidR="00392C0C" w:rsidRPr="00E42077" w:rsidRDefault="00392C0C" w:rsidP="00CF614A">
            <w:pPr>
              <w:pStyle w:val="TableText"/>
              <w:rPr>
                <w:color w:val="000000"/>
              </w:rPr>
            </w:pPr>
            <w:r w:rsidRPr="00E42077">
              <w:rPr>
                <w:color w:val="000000"/>
              </w:rPr>
              <w:t>Neonate</w:t>
            </w:r>
          </w:p>
        </w:tc>
        <w:tc>
          <w:tcPr>
            <w:tcW w:w="546" w:type="pct"/>
          </w:tcPr>
          <w:p w14:paraId="6F166C5C" w14:textId="1A582EA4" w:rsidR="00392C0C" w:rsidRPr="00E42077" w:rsidRDefault="00392C0C" w:rsidP="00CF614A">
            <w:pPr>
              <w:pStyle w:val="TableText"/>
              <w:rPr>
                <w:color w:val="000000"/>
              </w:rPr>
            </w:pPr>
            <w:r w:rsidRPr="00E42077">
              <w:rPr>
                <w:color w:val="000000"/>
              </w:rPr>
              <w:t>2</w:t>
            </w:r>
          </w:p>
        </w:tc>
        <w:tc>
          <w:tcPr>
            <w:tcW w:w="1095" w:type="pct"/>
          </w:tcPr>
          <w:p w14:paraId="4A48027A" w14:textId="2A950B2D" w:rsidR="00392C0C" w:rsidRPr="00E42077" w:rsidRDefault="00392C0C" w:rsidP="00CF614A">
            <w:pPr>
              <w:pStyle w:val="TableText"/>
              <w:rPr>
                <w:color w:val="000000"/>
              </w:rPr>
            </w:pPr>
            <w:r w:rsidRPr="00E42077">
              <w:rPr>
                <w:color w:val="000000"/>
              </w:rPr>
              <w:t>Acute LC50</w:t>
            </w:r>
            <w:r w:rsidR="00055895">
              <w:rPr>
                <w:color w:val="000000"/>
              </w:rPr>
              <w:br/>
            </w:r>
            <w:r w:rsidRPr="00E42077">
              <w:rPr>
                <w:color w:val="000000"/>
              </w:rPr>
              <w:t>(Mortality)</w:t>
            </w:r>
          </w:p>
        </w:tc>
        <w:tc>
          <w:tcPr>
            <w:tcW w:w="546" w:type="pct"/>
          </w:tcPr>
          <w:p w14:paraId="4793E24E" w14:textId="14785642" w:rsidR="00392C0C" w:rsidRPr="00E42077" w:rsidRDefault="00392C0C" w:rsidP="00CF614A">
            <w:pPr>
              <w:pStyle w:val="TableText"/>
              <w:rPr>
                <w:color w:val="000000"/>
              </w:rPr>
            </w:pPr>
            <w:r w:rsidRPr="00E42077">
              <w:rPr>
                <w:color w:val="000000"/>
              </w:rPr>
              <w:t>11.1</w:t>
            </w:r>
            <w:r>
              <w:rPr>
                <w:color w:val="000000"/>
              </w:rPr>
              <w:t>3</w:t>
            </w:r>
            <w:r w:rsidRPr="00D74EC7">
              <w:rPr>
                <w:color w:val="000000"/>
              </w:rPr>
              <w:t xml:space="preserve"> </w:t>
            </w:r>
            <w:r w:rsidRPr="00713503">
              <w:rPr>
                <w:rStyle w:val="Strong"/>
                <w:vertAlign w:val="superscript"/>
              </w:rPr>
              <w:t>b</w:t>
            </w:r>
          </w:p>
        </w:tc>
        <w:tc>
          <w:tcPr>
            <w:tcW w:w="546" w:type="pct"/>
          </w:tcPr>
          <w:p w14:paraId="0F5D97F7" w14:textId="2B7C8441" w:rsidR="00392C0C" w:rsidRPr="00E42077" w:rsidRDefault="00392C0C" w:rsidP="00CF614A">
            <w:pPr>
              <w:pStyle w:val="TableText"/>
              <w:rPr>
                <w:color w:val="000000"/>
              </w:rPr>
            </w:pPr>
            <w:r w:rsidRPr="00E42077">
              <w:rPr>
                <w:color w:val="000000"/>
              </w:rPr>
              <w:t>1.11</w:t>
            </w:r>
            <w:r>
              <w:rPr>
                <w:color w:val="000000"/>
              </w:rPr>
              <w:t>3</w:t>
            </w:r>
          </w:p>
        </w:tc>
      </w:tr>
      <w:tr w:rsidR="00084E30" w:rsidRPr="00ED728C" w14:paraId="4ED550C3" w14:textId="77777777" w:rsidTr="00CC21A3">
        <w:trPr>
          <w:cantSplit/>
        </w:trPr>
        <w:tc>
          <w:tcPr>
            <w:tcW w:w="627" w:type="pct"/>
            <w:vMerge w:val="restart"/>
          </w:tcPr>
          <w:p w14:paraId="0A1971AB" w14:textId="330FF2E3" w:rsidR="00392C0C" w:rsidRPr="00E42077" w:rsidRDefault="00392C0C" w:rsidP="00CF614A">
            <w:pPr>
              <w:pStyle w:val="TableText"/>
              <w:rPr>
                <w:color w:val="000000"/>
              </w:rPr>
            </w:pPr>
            <w:r w:rsidRPr="00E42077">
              <w:rPr>
                <w:color w:val="000000"/>
              </w:rPr>
              <w:t>Insect</w:t>
            </w:r>
          </w:p>
        </w:tc>
        <w:tc>
          <w:tcPr>
            <w:tcW w:w="859" w:type="pct"/>
          </w:tcPr>
          <w:p w14:paraId="0D2A74D5" w14:textId="05E5AAB6" w:rsidR="00392C0C" w:rsidRPr="00E42077" w:rsidRDefault="00392C0C" w:rsidP="00CF614A">
            <w:pPr>
              <w:pStyle w:val="TableText"/>
              <w:rPr>
                <w:i/>
                <w:iCs/>
                <w:color w:val="000000"/>
              </w:rPr>
            </w:pPr>
            <w:r w:rsidRPr="00E42077">
              <w:rPr>
                <w:i/>
                <w:iCs/>
                <w:color w:val="000000"/>
              </w:rPr>
              <w:t xml:space="preserve">Aedes aegypti </w:t>
            </w:r>
            <w:r>
              <w:rPr>
                <w:rStyle w:val="Strong"/>
                <w:vertAlign w:val="superscript"/>
              </w:rPr>
              <w:t>d</w:t>
            </w:r>
          </w:p>
        </w:tc>
        <w:tc>
          <w:tcPr>
            <w:tcW w:w="781" w:type="pct"/>
          </w:tcPr>
          <w:p w14:paraId="30D0BC56" w14:textId="77777777" w:rsidR="00392C0C" w:rsidRPr="00E42077" w:rsidRDefault="00392C0C" w:rsidP="00CF614A">
            <w:pPr>
              <w:pStyle w:val="TableText"/>
            </w:pPr>
            <w:r w:rsidRPr="00E42077">
              <w:rPr>
                <w:color w:val="000000"/>
              </w:rPr>
              <w:t>Fourth instar larva</w:t>
            </w:r>
          </w:p>
        </w:tc>
        <w:tc>
          <w:tcPr>
            <w:tcW w:w="546" w:type="pct"/>
          </w:tcPr>
          <w:p w14:paraId="52D6087B" w14:textId="77777777" w:rsidR="00392C0C" w:rsidRPr="00E42077" w:rsidRDefault="00392C0C" w:rsidP="00CF614A">
            <w:pPr>
              <w:pStyle w:val="TableText"/>
            </w:pPr>
            <w:r w:rsidRPr="00E42077">
              <w:rPr>
                <w:color w:val="000000"/>
              </w:rPr>
              <w:t>2</w:t>
            </w:r>
          </w:p>
        </w:tc>
        <w:tc>
          <w:tcPr>
            <w:tcW w:w="1095" w:type="pct"/>
          </w:tcPr>
          <w:p w14:paraId="78103D55" w14:textId="02FBAB40"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220DE03D" w14:textId="15B62D62" w:rsidR="00392C0C" w:rsidRPr="00E42077" w:rsidRDefault="00392C0C" w:rsidP="00CF614A">
            <w:pPr>
              <w:pStyle w:val="TableText"/>
            </w:pPr>
            <w:r w:rsidRPr="00E42077">
              <w:rPr>
                <w:color w:val="000000"/>
              </w:rPr>
              <w:t>3.</w:t>
            </w:r>
            <w:r>
              <w:rPr>
                <w:color w:val="000000"/>
              </w:rPr>
              <w:t>2</w:t>
            </w:r>
            <w:r w:rsidRPr="00E42077">
              <w:rPr>
                <w:color w:val="000000"/>
              </w:rPr>
              <w:t xml:space="preserve"> </w:t>
            </w:r>
            <w:r w:rsidRPr="00713503">
              <w:rPr>
                <w:rStyle w:val="Strong"/>
                <w:vertAlign w:val="superscript"/>
              </w:rPr>
              <w:t xml:space="preserve">b, </w:t>
            </w:r>
            <w:r>
              <w:rPr>
                <w:rStyle w:val="Strong"/>
                <w:vertAlign w:val="superscript"/>
              </w:rPr>
              <w:t>e</w:t>
            </w:r>
          </w:p>
        </w:tc>
        <w:tc>
          <w:tcPr>
            <w:tcW w:w="546" w:type="pct"/>
          </w:tcPr>
          <w:p w14:paraId="09604F77" w14:textId="77777777" w:rsidR="00392C0C" w:rsidRPr="00E42077" w:rsidRDefault="00392C0C" w:rsidP="00CF614A">
            <w:pPr>
              <w:pStyle w:val="TableText"/>
            </w:pPr>
            <w:r w:rsidRPr="00E42077">
              <w:rPr>
                <w:color w:val="000000"/>
              </w:rPr>
              <w:t>0.3</w:t>
            </w:r>
            <w:r>
              <w:rPr>
                <w:color w:val="000000"/>
              </w:rPr>
              <w:t>2</w:t>
            </w:r>
          </w:p>
        </w:tc>
      </w:tr>
      <w:tr w:rsidR="00084E30" w:rsidRPr="00ED728C" w14:paraId="260A194D" w14:textId="77777777" w:rsidTr="00CC21A3">
        <w:trPr>
          <w:cantSplit/>
        </w:trPr>
        <w:tc>
          <w:tcPr>
            <w:tcW w:w="627" w:type="pct"/>
            <w:vMerge/>
          </w:tcPr>
          <w:p w14:paraId="48AA4A43" w14:textId="17A3C401" w:rsidR="00392C0C" w:rsidRPr="00E42077" w:rsidRDefault="00392C0C" w:rsidP="00CF614A">
            <w:pPr>
              <w:pStyle w:val="TableText"/>
              <w:rPr>
                <w:color w:val="000000"/>
              </w:rPr>
            </w:pPr>
          </w:p>
        </w:tc>
        <w:tc>
          <w:tcPr>
            <w:tcW w:w="859" w:type="pct"/>
          </w:tcPr>
          <w:p w14:paraId="47EFD71D" w14:textId="2DB354D9" w:rsidR="00392C0C" w:rsidRPr="00E42077" w:rsidRDefault="00392C0C" w:rsidP="00CF614A">
            <w:pPr>
              <w:pStyle w:val="TableText"/>
              <w:rPr>
                <w:i/>
                <w:iCs/>
                <w:color w:val="000000"/>
              </w:rPr>
            </w:pPr>
            <w:r w:rsidRPr="00E42077">
              <w:rPr>
                <w:i/>
                <w:iCs/>
                <w:color w:val="000000"/>
              </w:rPr>
              <w:t xml:space="preserve">Aedes albopictus </w:t>
            </w:r>
            <w:r w:rsidRPr="00713503">
              <w:rPr>
                <w:color w:val="000000"/>
              </w:rPr>
              <w:t>HAmAal strain</w:t>
            </w:r>
            <w:r w:rsidRPr="00E42077">
              <w:rPr>
                <w:i/>
                <w:iCs/>
                <w:color w:val="000000"/>
              </w:rPr>
              <w:t xml:space="preserve"> </w:t>
            </w:r>
            <w:r>
              <w:rPr>
                <w:rStyle w:val="Strong"/>
                <w:vertAlign w:val="superscript"/>
              </w:rPr>
              <w:t>d</w:t>
            </w:r>
          </w:p>
        </w:tc>
        <w:tc>
          <w:tcPr>
            <w:tcW w:w="781" w:type="pct"/>
          </w:tcPr>
          <w:p w14:paraId="571C4727" w14:textId="782C30E5" w:rsidR="00392C0C" w:rsidRPr="00E42077" w:rsidRDefault="00392C0C" w:rsidP="00CF614A">
            <w:pPr>
              <w:pStyle w:val="TableText"/>
            </w:pPr>
            <w:r w:rsidRPr="00E42077">
              <w:rPr>
                <w:color w:val="000000"/>
              </w:rPr>
              <w:t xml:space="preserve">First </w:t>
            </w:r>
            <w:r>
              <w:rPr>
                <w:color w:val="000000"/>
              </w:rPr>
              <w:t>and</w:t>
            </w:r>
            <w:r w:rsidRPr="00E42077">
              <w:rPr>
                <w:color w:val="000000"/>
              </w:rPr>
              <w:t xml:space="preserve"> fourth instar larva</w:t>
            </w:r>
          </w:p>
        </w:tc>
        <w:tc>
          <w:tcPr>
            <w:tcW w:w="546" w:type="pct"/>
          </w:tcPr>
          <w:p w14:paraId="72E29847" w14:textId="77777777" w:rsidR="00392C0C" w:rsidRPr="00E42077" w:rsidRDefault="00392C0C" w:rsidP="00CF614A">
            <w:pPr>
              <w:pStyle w:val="TableText"/>
            </w:pPr>
            <w:r w:rsidRPr="00E42077">
              <w:rPr>
                <w:color w:val="000000"/>
              </w:rPr>
              <w:t>2</w:t>
            </w:r>
          </w:p>
        </w:tc>
        <w:tc>
          <w:tcPr>
            <w:tcW w:w="1095" w:type="pct"/>
          </w:tcPr>
          <w:p w14:paraId="79F8D852" w14:textId="781658C5"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5A8FBDCB" w14:textId="525CCC2F" w:rsidR="00392C0C" w:rsidRPr="00E42077" w:rsidRDefault="00392C0C" w:rsidP="00CF614A">
            <w:pPr>
              <w:pStyle w:val="TableText"/>
            </w:pPr>
            <w:r w:rsidRPr="00E42077">
              <w:rPr>
                <w:color w:val="000000"/>
              </w:rPr>
              <w:t>13.6</w:t>
            </w:r>
            <w:r>
              <w:rPr>
                <w:color w:val="000000"/>
              </w:rPr>
              <w:t>5</w:t>
            </w:r>
            <w:r w:rsidRPr="00E42077">
              <w:rPr>
                <w:color w:val="000000"/>
              </w:rPr>
              <w:t xml:space="preserve"> </w:t>
            </w:r>
            <w:r w:rsidRPr="00570E55">
              <w:rPr>
                <w:rStyle w:val="Strong"/>
                <w:vertAlign w:val="superscript"/>
              </w:rPr>
              <w:t xml:space="preserve">b, </w:t>
            </w:r>
            <w:r>
              <w:rPr>
                <w:rStyle w:val="Strong"/>
                <w:vertAlign w:val="superscript"/>
              </w:rPr>
              <w:t>e</w:t>
            </w:r>
          </w:p>
        </w:tc>
        <w:tc>
          <w:tcPr>
            <w:tcW w:w="546" w:type="pct"/>
          </w:tcPr>
          <w:p w14:paraId="57710643" w14:textId="3CDEAA72" w:rsidR="00392C0C" w:rsidRPr="00E42077" w:rsidRDefault="00392C0C" w:rsidP="00CF614A">
            <w:pPr>
              <w:pStyle w:val="TableText"/>
            </w:pPr>
            <w:r w:rsidRPr="00E42077">
              <w:rPr>
                <w:color w:val="000000"/>
              </w:rPr>
              <w:t>1.36</w:t>
            </w:r>
            <w:r>
              <w:rPr>
                <w:color w:val="000000"/>
              </w:rPr>
              <w:t>5</w:t>
            </w:r>
          </w:p>
        </w:tc>
      </w:tr>
      <w:tr w:rsidR="00084E30" w:rsidRPr="00ED728C" w14:paraId="32DF664D" w14:textId="77777777" w:rsidTr="00CC21A3">
        <w:trPr>
          <w:cantSplit/>
        </w:trPr>
        <w:tc>
          <w:tcPr>
            <w:tcW w:w="627" w:type="pct"/>
            <w:vMerge/>
          </w:tcPr>
          <w:p w14:paraId="059C149C" w14:textId="00A30E38" w:rsidR="00392C0C" w:rsidRPr="00E42077" w:rsidRDefault="00392C0C" w:rsidP="00CF614A">
            <w:pPr>
              <w:pStyle w:val="TableText"/>
              <w:rPr>
                <w:color w:val="000000"/>
              </w:rPr>
            </w:pPr>
          </w:p>
        </w:tc>
        <w:tc>
          <w:tcPr>
            <w:tcW w:w="859" w:type="pct"/>
          </w:tcPr>
          <w:p w14:paraId="4FCF49C3" w14:textId="77777777" w:rsidR="00392C0C" w:rsidRPr="00E42077" w:rsidRDefault="00392C0C" w:rsidP="00CF614A">
            <w:pPr>
              <w:pStyle w:val="TableText"/>
              <w:rPr>
                <w:i/>
                <w:iCs/>
                <w:color w:val="000000"/>
              </w:rPr>
            </w:pPr>
            <w:r w:rsidRPr="00E42077">
              <w:rPr>
                <w:i/>
                <w:iCs/>
                <w:color w:val="000000"/>
              </w:rPr>
              <w:t>Aedes taeniorhynchus</w:t>
            </w:r>
          </w:p>
        </w:tc>
        <w:tc>
          <w:tcPr>
            <w:tcW w:w="781" w:type="pct"/>
          </w:tcPr>
          <w:p w14:paraId="5E4D944E" w14:textId="77777777" w:rsidR="00392C0C" w:rsidRPr="00E42077" w:rsidRDefault="00392C0C" w:rsidP="00CF614A">
            <w:pPr>
              <w:pStyle w:val="TableText"/>
            </w:pPr>
            <w:r w:rsidRPr="00E42077">
              <w:rPr>
                <w:color w:val="000000"/>
              </w:rPr>
              <w:t>Fourth instar larva</w:t>
            </w:r>
          </w:p>
        </w:tc>
        <w:tc>
          <w:tcPr>
            <w:tcW w:w="546" w:type="pct"/>
          </w:tcPr>
          <w:p w14:paraId="613F65B3" w14:textId="77777777" w:rsidR="00392C0C" w:rsidRPr="00E42077" w:rsidRDefault="00392C0C" w:rsidP="00CF614A">
            <w:pPr>
              <w:pStyle w:val="TableText"/>
            </w:pPr>
            <w:r w:rsidRPr="00E42077">
              <w:rPr>
                <w:color w:val="000000"/>
              </w:rPr>
              <w:t>2</w:t>
            </w:r>
          </w:p>
        </w:tc>
        <w:tc>
          <w:tcPr>
            <w:tcW w:w="1095" w:type="pct"/>
          </w:tcPr>
          <w:p w14:paraId="582D7D69" w14:textId="3B6A1274"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643108DF" w14:textId="77777777" w:rsidR="00392C0C" w:rsidRPr="00E42077" w:rsidRDefault="00392C0C" w:rsidP="00CF614A">
            <w:pPr>
              <w:pStyle w:val="TableText"/>
            </w:pPr>
            <w:r w:rsidRPr="00E42077">
              <w:rPr>
                <w:color w:val="000000"/>
              </w:rPr>
              <w:t xml:space="preserve">0.43 </w:t>
            </w:r>
            <w:r w:rsidRPr="00570E55">
              <w:rPr>
                <w:rStyle w:val="Strong"/>
                <w:vertAlign w:val="superscript"/>
              </w:rPr>
              <w:t>b</w:t>
            </w:r>
          </w:p>
        </w:tc>
        <w:tc>
          <w:tcPr>
            <w:tcW w:w="546" w:type="pct"/>
          </w:tcPr>
          <w:p w14:paraId="482E4A26" w14:textId="77777777" w:rsidR="00392C0C" w:rsidRPr="00E42077" w:rsidRDefault="00392C0C" w:rsidP="00CF614A">
            <w:pPr>
              <w:pStyle w:val="TableText"/>
            </w:pPr>
            <w:r w:rsidRPr="00E42077">
              <w:rPr>
                <w:color w:val="000000"/>
              </w:rPr>
              <w:t>0.043</w:t>
            </w:r>
          </w:p>
        </w:tc>
      </w:tr>
      <w:tr w:rsidR="00084E30" w:rsidRPr="00ED728C" w14:paraId="23039B45" w14:textId="77777777" w:rsidTr="00CC21A3">
        <w:trPr>
          <w:cantSplit/>
        </w:trPr>
        <w:tc>
          <w:tcPr>
            <w:tcW w:w="627" w:type="pct"/>
            <w:vMerge/>
          </w:tcPr>
          <w:p w14:paraId="0B5AEB25" w14:textId="0A652222" w:rsidR="00392C0C" w:rsidRPr="00E42077" w:rsidRDefault="00392C0C" w:rsidP="00CF614A">
            <w:pPr>
              <w:pStyle w:val="TableText"/>
              <w:rPr>
                <w:color w:val="000000"/>
              </w:rPr>
            </w:pPr>
          </w:p>
        </w:tc>
        <w:tc>
          <w:tcPr>
            <w:tcW w:w="859" w:type="pct"/>
          </w:tcPr>
          <w:p w14:paraId="39FB93F4" w14:textId="77777777" w:rsidR="00392C0C" w:rsidRPr="00E42077" w:rsidRDefault="00392C0C" w:rsidP="00CF614A">
            <w:pPr>
              <w:pStyle w:val="TableText"/>
              <w:rPr>
                <w:i/>
                <w:iCs/>
                <w:color w:val="000000"/>
              </w:rPr>
            </w:pPr>
            <w:r w:rsidRPr="00E42077">
              <w:rPr>
                <w:i/>
                <w:iCs/>
                <w:color w:val="000000"/>
              </w:rPr>
              <w:t>AnopheIes quadrimaculatus</w:t>
            </w:r>
          </w:p>
        </w:tc>
        <w:tc>
          <w:tcPr>
            <w:tcW w:w="781" w:type="pct"/>
          </w:tcPr>
          <w:p w14:paraId="0367C33F" w14:textId="77777777" w:rsidR="00392C0C" w:rsidRPr="00E42077" w:rsidRDefault="00392C0C" w:rsidP="00CF614A">
            <w:pPr>
              <w:pStyle w:val="TableText"/>
            </w:pPr>
            <w:r w:rsidRPr="00E42077">
              <w:rPr>
                <w:color w:val="000000"/>
              </w:rPr>
              <w:t>Fourth instar larva</w:t>
            </w:r>
          </w:p>
        </w:tc>
        <w:tc>
          <w:tcPr>
            <w:tcW w:w="546" w:type="pct"/>
          </w:tcPr>
          <w:p w14:paraId="3EBA05EE" w14:textId="77777777" w:rsidR="00392C0C" w:rsidRPr="00E42077" w:rsidRDefault="00392C0C" w:rsidP="00CF614A">
            <w:pPr>
              <w:pStyle w:val="TableText"/>
            </w:pPr>
            <w:r w:rsidRPr="00E42077">
              <w:rPr>
                <w:color w:val="000000"/>
              </w:rPr>
              <w:t>2</w:t>
            </w:r>
          </w:p>
        </w:tc>
        <w:tc>
          <w:tcPr>
            <w:tcW w:w="1095" w:type="pct"/>
          </w:tcPr>
          <w:p w14:paraId="01823E3A" w14:textId="572E4C96"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7C99E479" w14:textId="77777777" w:rsidR="00392C0C" w:rsidRPr="00E42077" w:rsidRDefault="00392C0C" w:rsidP="00CF614A">
            <w:pPr>
              <w:pStyle w:val="TableText"/>
            </w:pPr>
            <w:r w:rsidRPr="00E42077">
              <w:rPr>
                <w:color w:val="000000"/>
              </w:rPr>
              <w:t xml:space="preserve">0.43 </w:t>
            </w:r>
            <w:r w:rsidRPr="00570E55">
              <w:rPr>
                <w:rStyle w:val="Strong"/>
                <w:vertAlign w:val="superscript"/>
              </w:rPr>
              <w:t>b</w:t>
            </w:r>
          </w:p>
        </w:tc>
        <w:tc>
          <w:tcPr>
            <w:tcW w:w="546" w:type="pct"/>
          </w:tcPr>
          <w:p w14:paraId="36DEF902" w14:textId="77777777" w:rsidR="00392C0C" w:rsidRPr="00E42077" w:rsidRDefault="00392C0C" w:rsidP="00CF614A">
            <w:pPr>
              <w:pStyle w:val="TableText"/>
            </w:pPr>
            <w:r w:rsidRPr="00E42077">
              <w:rPr>
                <w:color w:val="000000"/>
              </w:rPr>
              <w:t>0.043</w:t>
            </w:r>
          </w:p>
        </w:tc>
      </w:tr>
      <w:tr w:rsidR="00084E30" w:rsidRPr="00ED728C" w14:paraId="50C235C9" w14:textId="77777777" w:rsidTr="00CC21A3">
        <w:trPr>
          <w:cantSplit/>
        </w:trPr>
        <w:tc>
          <w:tcPr>
            <w:tcW w:w="627" w:type="pct"/>
            <w:vMerge/>
          </w:tcPr>
          <w:p w14:paraId="771709C6" w14:textId="64DB3723" w:rsidR="00392C0C" w:rsidRPr="00E42077" w:rsidRDefault="00392C0C" w:rsidP="00CF614A">
            <w:pPr>
              <w:pStyle w:val="TableText"/>
              <w:rPr>
                <w:color w:val="000000"/>
              </w:rPr>
            </w:pPr>
          </w:p>
        </w:tc>
        <w:tc>
          <w:tcPr>
            <w:tcW w:w="859" w:type="pct"/>
          </w:tcPr>
          <w:p w14:paraId="49DEF105" w14:textId="77777777" w:rsidR="00392C0C" w:rsidRPr="00E42077" w:rsidRDefault="00392C0C" w:rsidP="00CF614A">
            <w:pPr>
              <w:pStyle w:val="TableText"/>
              <w:rPr>
                <w:i/>
                <w:iCs/>
                <w:color w:val="000000"/>
              </w:rPr>
            </w:pPr>
            <w:r w:rsidRPr="00E42077">
              <w:rPr>
                <w:i/>
                <w:iCs/>
                <w:color w:val="000000"/>
              </w:rPr>
              <w:t>Chaoborus crystallinus</w:t>
            </w:r>
          </w:p>
        </w:tc>
        <w:tc>
          <w:tcPr>
            <w:tcW w:w="781" w:type="pct"/>
          </w:tcPr>
          <w:p w14:paraId="08D12742" w14:textId="77777777" w:rsidR="00392C0C" w:rsidRPr="00E42077" w:rsidRDefault="00392C0C" w:rsidP="00CF614A">
            <w:pPr>
              <w:pStyle w:val="TableText"/>
            </w:pPr>
            <w:r w:rsidRPr="00E42077">
              <w:rPr>
                <w:color w:val="000000"/>
              </w:rPr>
              <w:t>Larva</w:t>
            </w:r>
          </w:p>
        </w:tc>
        <w:tc>
          <w:tcPr>
            <w:tcW w:w="546" w:type="pct"/>
          </w:tcPr>
          <w:p w14:paraId="5ADBCBAB" w14:textId="77777777" w:rsidR="00392C0C" w:rsidRPr="00E42077" w:rsidRDefault="00392C0C" w:rsidP="00CF614A">
            <w:pPr>
              <w:pStyle w:val="TableText"/>
            </w:pPr>
            <w:r w:rsidRPr="00E42077">
              <w:rPr>
                <w:color w:val="000000"/>
              </w:rPr>
              <w:t>2</w:t>
            </w:r>
          </w:p>
        </w:tc>
        <w:tc>
          <w:tcPr>
            <w:tcW w:w="1095" w:type="pct"/>
          </w:tcPr>
          <w:p w14:paraId="3D213DE8" w14:textId="0AC5BF97"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3F50BE81" w14:textId="77777777" w:rsidR="00392C0C" w:rsidRPr="00E42077" w:rsidRDefault="00392C0C" w:rsidP="00CF614A">
            <w:pPr>
              <w:pStyle w:val="TableText"/>
            </w:pPr>
            <w:r w:rsidRPr="00E42077">
              <w:rPr>
                <w:color w:val="000000"/>
              </w:rPr>
              <w:t xml:space="preserve">646.3 </w:t>
            </w:r>
            <w:r w:rsidRPr="00570E55">
              <w:rPr>
                <w:rStyle w:val="Strong"/>
                <w:vertAlign w:val="superscript"/>
              </w:rPr>
              <w:t>b</w:t>
            </w:r>
          </w:p>
        </w:tc>
        <w:tc>
          <w:tcPr>
            <w:tcW w:w="546" w:type="pct"/>
          </w:tcPr>
          <w:p w14:paraId="17A930CF" w14:textId="77777777" w:rsidR="00392C0C" w:rsidRPr="00E42077" w:rsidRDefault="00392C0C" w:rsidP="00CF614A">
            <w:pPr>
              <w:pStyle w:val="TableText"/>
            </w:pPr>
            <w:r w:rsidRPr="00E42077">
              <w:rPr>
                <w:color w:val="000000"/>
              </w:rPr>
              <w:t>64.6</w:t>
            </w:r>
          </w:p>
        </w:tc>
      </w:tr>
      <w:tr w:rsidR="00084E30" w:rsidRPr="00ED728C" w14:paraId="3BC73EF4" w14:textId="77777777" w:rsidTr="00CC21A3">
        <w:trPr>
          <w:cantSplit/>
        </w:trPr>
        <w:tc>
          <w:tcPr>
            <w:tcW w:w="627" w:type="pct"/>
            <w:vMerge/>
          </w:tcPr>
          <w:p w14:paraId="32839893" w14:textId="48DF1551" w:rsidR="00392C0C" w:rsidRPr="00E42077" w:rsidRDefault="00392C0C" w:rsidP="00CF614A">
            <w:pPr>
              <w:pStyle w:val="TableText"/>
              <w:rPr>
                <w:color w:val="000000"/>
              </w:rPr>
            </w:pPr>
          </w:p>
        </w:tc>
        <w:tc>
          <w:tcPr>
            <w:tcW w:w="859" w:type="pct"/>
          </w:tcPr>
          <w:p w14:paraId="7D810276" w14:textId="77777777" w:rsidR="00392C0C" w:rsidRPr="00E42077" w:rsidRDefault="00392C0C" w:rsidP="00CF614A">
            <w:pPr>
              <w:pStyle w:val="TableText"/>
              <w:rPr>
                <w:i/>
                <w:iCs/>
                <w:color w:val="000000"/>
              </w:rPr>
            </w:pPr>
            <w:r w:rsidRPr="00E42077">
              <w:rPr>
                <w:i/>
                <w:iCs/>
                <w:color w:val="000000"/>
              </w:rPr>
              <w:t>Cheumatopsyche brevilineata</w:t>
            </w:r>
          </w:p>
        </w:tc>
        <w:tc>
          <w:tcPr>
            <w:tcW w:w="781" w:type="pct"/>
          </w:tcPr>
          <w:p w14:paraId="59485882" w14:textId="77777777" w:rsidR="00392C0C" w:rsidRPr="00E42077" w:rsidRDefault="00392C0C" w:rsidP="00CF614A">
            <w:pPr>
              <w:pStyle w:val="TableText"/>
            </w:pPr>
            <w:r w:rsidRPr="00E42077">
              <w:rPr>
                <w:color w:val="000000"/>
              </w:rPr>
              <w:t>First instar larva</w:t>
            </w:r>
          </w:p>
        </w:tc>
        <w:tc>
          <w:tcPr>
            <w:tcW w:w="546" w:type="pct"/>
          </w:tcPr>
          <w:p w14:paraId="477865F1" w14:textId="77777777" w:rsidR="00392C0C" w:rsidRPr="00E42077" w:rsidRDefault="00392C0C" w:rsidP="00CF614A">
            <w:pPr>
              <w:pStyle w:val="TableText"/>
            </w:pPr>
            <w:r w:rsidRPr="00E42077">
              <w:rPr>
                <w:color w:val="000000"/>
              </w:rPr>
              <w:t>2</w:t>
            </w:r>
          </w:p>
        </w:tc>
        <w:tc>
          <w:tcPr>
            <w:tcW w:w="1095" w:type="pct"/>
          </w:tcPr>
          <w:p w14:paraId="70EBABE9" w14:textId="28CCD3A4" w:rsidR="00392C0C" w:rsidRPr="00E42077" w:rsidRDefault="00392C0C" w:rsidP="00CF614A">
            <w:pPr>
              <w:pStyle w:val="TableText"/>
            </w:pPr>
            <w:r w:rsidRPr="00E42077">
              <w:rPr>
                <w:color w:val="000000"/>
              </w:rPr>
              <w:t>Acute LC50</w:t>
            </w:r>
            <w:r w:rsidR="00055895">
              <w:rPr>
                <w:color w:val="000000"/>
              </w:rPr>
              <w:br/>
            </w:r>
            <w:r w:rsidRPr="00E42077">
              <w:rPr>
                <w:color w:val="000000"/>
              </w:rPr>
              <w:t>(Immobilisation)</w:t>
            </w:r>
          </w:p>
        </w:tc>
        <w:tc>
          <w:tcPr>
            <w:tcW w:w="546" w:type="pct"/>
          </w:tcPr>
          <w:p w14:paraId="1C2EEFED" w14:textId="6853C06B" w:rsidR="00392C0C" w:rsidRPr="00E42077" w:rsidRDefault="00392C0C" w:rsidP="00CF614A">
            <w:pPr>
              <w:pStyle w:val="TableText"/>
            </w:pPr>
            <w:r w:rsidRPr="00E42077">
              <w:rPr>
                <w:color w:val="000000"/>
              </w:rPr>
              <w:t>0.15</w:t>
            </w:r>
            <w:r>
              <w:rPr>
                <w:color w:val="000000"/>
              </w:rPr>
              <w:t>3</w:t>
            </w:r>
            <w:r w:rsidRPr="00E42077">
              <w:rPr>
                <w:color w:val="000000"/>
              </w:rPr>
              <w:t xml:space="preserve"> </w:t>
            </w:r>
            <w:r w:rsidRPr="00570E55">
              <w:rPr>
                <w:rStyle w:val="Strong"/>
                <w:vertAlign w:val="superscript"/>
              </w:rPr>
              <w:t>b</w:t>
            </w:r>
          </w:p>
        </w:tc>
        <w:tc>
          <w:tcPr>
            <w:tcW w:w="546" w:type="pct"/>
          </w:tcPr>
          <w:p w14:paraId="4FB70853" w14:textId="293256D5" w:rsidR="00392C0C" w:rsidRPr="00E42077" w:rsidRDefault="00392C0C" w:rsidP="00CF614A">
            <w:pPr>
              <w:pStyle w:val="TableText"/>
            </w:pPr>
            <w:r w:rsidRPr="00E42077">
              <w:rPr>
                <w:color w:val="000000"/>
              </w:rPr>
              <w:t>0.015</w:t>
            </w:r>
            <w:r>
              <w:rPr>
                <w:color w:val="000000"/>
              </w:rPr>
              <w:t>3</w:t>
            </w:r>
          </w:p>
        </w:tc>
      </w:tr>
      <w:tr w:rsidR="00084E30" w:rsidRPr="00ED728C" w14:paraId="1203BBF3" w14:textId="77777777" w:rsidTr="00CC21A3">
        <w:trPr>
          <w:cantSplit/>
        </w:trPr>
        <w:tc>
          <w:tcPr>
            <w:tcW w:w="627" w:type="pct"/>
            <w:vMerge/>
          </w:tcPr>
          <w:p w14:paraId="1D3AE264" w14:textId="60CF99AF" w:rsidR="00392C0C" w:rsidRPr="00E42077" w:rsidRDefault="00392C0C" w:rsidP="00CF614A">
            <w:pPr>
              <w:pStyle w:val="TableText"/>
              <w:rPr>
                <w:color w:val="000000"/>
              </w:rPr>
            </w:pPr>
          </w:p>
        </w:tc>
        <w:tc>
          <w:tcPr>
            <w:tcW w:w="859" w:type="pct"/>
          </w:tcPr>
          <w:p w14:paraId="770BD8A3" w14:textId="77777777" w:rsidR="00392C0C" w:rsidRPr="00E42077" w:rsidRDefault="00392C0C" w:rsidP="00CF614A">
            <w:pPr>
              <w:pStyle w:val="TableText"/>
              <w:rPr>
                <w:i/>
                <w:iCs/>
                <w:color w:val="000000"/>
              </w:rPr>
            </w:pPr>
            <w:r w:rsidRPr="00E42077">
              <w:rPr>
                <w:i/>
                <w:iCs/>
                <w:color w:val="000000"/>
              </w:rPr>
              <w:t>Chironomus annularius</w:t>
            </w:r>
          </w:p>
        </w:tc>
        <w:tc>
          <w:tcPr>
            <w:tcW w:w="781" w:type="pct"/>
          </w:tcPr>
          <w:p w14:paraId="1C82DBE7" w14:textId="77777777" w:rsidR="00392C0C" w:rsidRPr="00E42077" w:rsidRDefault="00392C0C" w:rsidP="00CF614A">
            <w:pPr>
              <w:pStyle w:val="TableText"/>
            </w:pPr>
            <w:r w:rsidRPr="00E42077">
              <w:rPr>
                <w:color w:val="000000"/>
              </w:rPr>
              <w:t>Larva</w:t>
            </w:r>
          </w:p>
        </w:tc>
        <w:tc>
          <w:tcPr>
            <w:tcW w:w="546" w:type="pct"/>
          </w:tcPr>
          <w:p w14:paraId="633AFBF7" w14:textId="77777777" w:rsidR="00392C0C" w:rsidRPr="00E42077" w:rsidRDefault="00392C0C" w:rsidP="00CF614A">
            <w:pPr>
              <w:pStyle w:val="TableText"/>
            </w:pPr>
            <w:r w:rsidRPr="00E42077">
              <w:rPr>
                <w:color w:val="000000"/>
              </w:rPr>
              <w:t>2</w:t>
            </w:r>
          </w:p>
        </w:tc>
        <w:tc>
          <w:tcPr>
            <w:tcW w:w="1095" w:type="pct"/>
          </w:tcPr>
          <w:p w14:paraId="68E124C5" w14:textId="2FD8C872"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204C84F1" w14:textId="639F6D51" w:rsidR="00392C0C" w:rsidRPr="00E42077" w:rsidRDefault="00392C0C" w:rsidP="00CF614A">
            <w:pPr>
              <w:pStyle w:val="TableText"/>
            </w:pPr>
            <w:r w:rsidRPr="00E42077">
              <w:rPr>
                <w:color w:val="000000"/>
              </w:rPr>
              <w:t>2.4</w:t>
            </w:r>
            <w:r>
              <w:rPr>
                <w:color w:val="000000"/>
              </w:rPr>
              <w:t>5</w:t>
            </w:r>
            <w:r w:rsidRPr="00E42077">
              <w:rPr>
                <w:color w:val="000000"/>
              </w:rPr>
              <w:t xml:space="preserve"> </w:t>
            </w:r>
            <w:r w:rsidRPr="00570E55">
              <w:rPr>
                <w:rStyle w:val="Strong"/>
                <w:vertAlign w:val="superscript"/>
              </w:rPr>
              <w:t>b</w:t>
            </w:r>
          </w:p>
        </w:tc>
        <w:tc>
          <w:tcPr>
            <w:tcW w:w="546" w:type="pct"/>
          </w:tcPr>
          <w:p w14:paraId="3294D031" w14:textId="7A0A44FB" w:rsidR="00392C0C" w:rsidRPr="00E42077" w:rsidRDefault="00392C0C" w:rsidP="00CF614A">
            <w:pPr>
              <w:pStyle w:val="TableText"/>
            </w:pPr>
            <w:r w:rsidRPr="00E42077">
              <w:rPr>
                <w:color w:val="000000"/>
              </w:rPr>
              <w:t>0.24</w:t>
            </w:r>
            <w:r>
              <w:rPr>
                <w:color w:val="000000"/>
              </w:rPr>
              <w:t>5</w:t>
            </w:r>
          </w:p>
        </w:tc>
      </w:tr>
      <w:tr w:rsidR="00084E30" w:rsidRPr="00ED728C" w14:paraId="275964FE" w14:textId="77777777" w:rsidTr="00CC21A3">
        <w:trPr>
          <w:cantSplit/>
        </w:trPr>
        <w:tc>
          <w:tcPr>
            <w:tcW w:w="627" w:type="pct"/>
            <w:vMerge/>
          </w:tcPr>
          <w:p w14:paraId="31323AF3" w14:textId="1747B05C" w:rsidR="00392C0C" w:rsidRPr="00E42077" w:rsidRDefault="00392C0C" w:rsidP="00CF614A">
            <w:pPr>
              <w:pStyle w:val="TableText"/>
              <w:rPr>
                <w:color w:val="000000"/>
              </w:rPr>
            </w:pPr>
          </w:p>
        </w:tc>
        <w:tc>
          <w:tcPr>
            <w:tcW w:w="859" w:type="pct"/>
          </w:tcPr>
          <w:p w14:paraId="6F0C5464" w14:textId="77777777" w:rsidR="00392C0C" w:rsidRPr="00E42077" w:rsidRDefault="00392C0C" w:rsidP="00CF614A">
            <w:pPr>
              <w:pStyle w:val="TableText"/>
              <w:rPr>
                <w:i/>
                <w:iCs/>
                <w:color w:val="000000"/>
              </w:rPr>
            </w:pPr>
            <w:r w:rsidRPr="00E42077">
              <w:rPr>
                <w:i/>
                <w:iCs/>
                <w:color w:val="000000"/>
              </w:rPr>
              <w:t>Chironomus crassicaudatus</w:t>
            </w:r>
          </w:p>
        </w:tc>
        <w:tc>
          <w:tcPr>
            <w:tcW w:w="781" w:type="pct"/>
          </w:tcPr>
          <w:p w14:paraId="470E718B" w14:textId="77777777" w:rsidR="00392C0C" w:rsidRPr="00E42077" w:rsidRDefault="00392C0C" w:rsidP="00CF614A">
            <w:pPr>
              <w:pStyle w:val="TableText"/>
            </w:pPr>
            <w:r w:rsidRPr="00E42077">
              <w:rPr>
                <w:color w:val="000000"/>
              </w:rPr>
              <w:t>Fourth instar larva</w:t>
            </w:r>
          </w:p>
        </w:tc>
        <w:tc>
          <w:tcPr>
            <w:tcW w:w="546" w:type="pct"/>
          </w:tcPr>
          <w:p w14:paraId="1026CD05" w14:textId="77777777" w:rsidR="00392C0C" w:rsidRPr="00E42077" w:rsidRDefault="00392C0C" w:rsidP="00CF614A">
            <w:pPr>
              <w:pStyle w:val="TableText"/>
            </w:pPr>
            <w:r w:rsidRPr="00E42077">
              <w:rPr>
                <w:color w:val="000000"/>
              </w:rPr>
              <w:t>2</w:t>
            </w:r>
          </w:p>
        </w:tc>
        <w:tc>
          <w:tcPr>
            <w:tcW w:w="1095" w:type="pct"/>
          </w:tcPr>
          <w:p w14:paraId="3B940565" w14:textId="3A1CB7FF"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389FBF98" w14:textId="77777777" w:rsidR="00392C0C" w:rsidRPr="00E42077" w:rsidRDefault="00392C0C" w:rsidP="00CF614A">
            <w:pPr>
              <w:pStyle w:val="TableText"/>
            </w:pPr>
            <w:r w:rsidRPr="00E42077">
              <w:rPr>
                <w:color w:val="000000"/>
              </w:rPr>
              <w:t xml:space="preserve">0.42 </w:t>
            </w:r>
            <w:r w:rsidRPr="00570E55">
              <w:rPr>
                <w:rStyle w:val="Strong"/>
                <w:vertAlign w:val="superscript"/>
              </w:rPr>
              <w:t>b</w:t>
            </w:r>
          </w:p>
        </w:tc>
        <w:tc>
          <w:tcPr>
            <w:tcW w:w="546" w:type="pct"/>
          </w:tcPr>
          <w:p w14:paraId="63860421" w14:textId="77777777" w:rsidR="00392C0C" w:rsidRPr="00E42077" w:rsidRDefault="00392C0C" w:rsidP="00CF614A">
            <w:pPr>
              <w:pStyle w:val="TableText"/>
            </w:pPr>
            <w:r w:rsidRPr="00E42077">
              <w:rPr>
                <w:color w:val="000000"/>
              </w:rPr>
              <w:t>0.042</w:t>
            </w:r>
          </w:p>
        </w:tc>
      </w:tr>
      <w:tr w:rsidR="00084E30" w:rsidRPr="00ED728C" w14:paraId="2D908B12" w14:textId="77777777" w:rsidTr="00CC21A3">
        <w:trPr>
          <w:cantSplit/>
        </w:trPr>
        <w:tc>
          <w:tcPr>
            <w:tcW w:w="627" w:type="pct"/>
            <w:vMerge/>
          </w:tcPr>
          <w:p w14:paraId="0AA05819" w14:textId="34456E79" w:rsidR="00392C0C" w:rsidRPr="00E42077" w:rsidRDefault="00392C0C" w:rsidP="00CF614A">
            <w:pPr>
              <w:pStyle w:val="TableText"/>
              <w:rPr>
                <w:color w:val="000000"/>
              </w:rPr>
            </w:pPr>
          </w:p>
        </w:tc>
        <w:tc>
          <w:tcPr>
            <w:tcW w:w="859" w:type="pct"/>
          </w:tcPr>
          <w:p w14:paraId="44607F50" w14:textId="77777777" w:rsidR="00392C0C" w:rsidRPr="00E42077" w:rsidRDefault="00392C0C" w:rsidP="00CF614A">
            <w:pPr>
              <w:pStyle w:val="TableText"/>
              <w:rPr>
                <w:i/>
                <w:iCs/>
                <w:color w:val="000000"/>
              </w:rPr>
            </w:pPr>
            <w:r w:rsidRPr="00E42077">
              <w:rPr>
                <w:i/>
                <w:iCs/>
                <w:color w:val="000000"/>
              </w:rPr>
              <w:t>Culex nigripalpus</w:t>
            </w:r>
          </w:p>
        </w:tc>
        <w:tc>
          <w:tcPr>
            <w:tcW w:w="781" w:type="pct"/>
          </w:tcPr>
          <w:p w14:paraId="4500FDCC" w14:textId="77777777" w:rsidR="00392C0C" w:rsidRPr="00E42077" w:rsidRDefault="00392C0C" w:rsidP="00CF614A">
            <w:pPr>
              <w:pStyle w:val="TableText"/>
            </w:pPr>
            <w:r w:rsidRPr="00E42077">
              <w:rPr>
                <w:color w:val="000000"/>
              </w:rPr>
              <w:t>Fourth instar larva</w:t>
            </w:r>
          </w:p>
        </w:tc>
        <w:tc>
          <w:tcPr>
            <w:tcW w:w="546" w:type="pct"/>
          </w:tcPr>
          <w:p w14:paraId="52155DDD" w14:textId="77777777" w:rsidR="00392C0C" w:rsidRPr="00E42077" w:rsidRDefault="00392C0C" w:rsidP="00CF614A">
            <w:pPr>
              <w:pStyle w:val="TableText"/>
            </w:pPr>
            <w:r w:rsidRPr="00E42077">
              <w:rPr>
                <w:color w:val="000000"/>
              </w:rPr>
              <w:t>2</w:t>
            </w:r>
          </w:p>
        </w:tc>
        <w:tc>
          <w:tcPr>
            <w:tcW w:w="1095" w:type="pct"/>
          </w:tcPr>
          <w:p w14:paraId="18BED090" w14:textId="6A1AC260"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6B53DFA7" w14:textId="77777777" w:rsidR="00392C0C" w:rsidRPr="00E42077" w:rsidRDefault="00392C0C" w:rsidP="00CF614A">
            <w:pPr>
              <w:pStyle w:val="TableText"/>
            </w:pPr>
            <w:r w:rsidRPr="00E42077">
              <w:rPr>
                <w:color w:val="000000"/>
              </w:rPr>
              <w:t xml:space="preserve">0.87 </w:t>
            </w:r>
            <w:r w:rsidRPr="00570E55">
              <w:rPr>
                <w:rStyle w:val="Strong"/>
                <w:vertAlign w:val="superscript"/>
              </w:rPr>
              <w:t>b</w:t>
            </w:r>
          </w:p>
        </w:tc>
        <w:tc>
          <w:tcPr>
            <w:tcW w:w="546" w:type="pct"/>
          </w:tcPr>
          <w:p w14:paraId="0BB8047B" w14:textId="77777777" w:rsidR="00392C0C" w:rsidRPr="00E42077" w:rsidRDefault="00392C0C" w:rsidP="00CF614A">
            <w:pPr>
              <w:pStyle w:val="TableText"/>
            </w:pPr>
            <w:r w:rsidRPr="00E42077">
              <w:rPr>
                <w:color w:val="000000"/>
              </w:rPr>
              <w:t>0.087</w:t>
            </w:r>
          </w:p>
        </w:tc>
      </w:tr>
      <w:tr w:rsidR="00084E30" w:rsidRPr="00ED728C" w14:paraId="45F19FB4" w14:textId="77777777" w:rsidTr="00CC21A3">
        <w:trPr>
          <w:cantSplit/>
        </w:trPr>
        <w:tc>
          <w:tcPr>
            <w:tcW w:w="627" w:type="pct"/>
            <w:vMerge/>
          </w:tcPr>
          <w:p w14:paraId="7018803F" w14:textId="66ABE282" w:rsidR="00392C0C" w:rsidRPr="00E42077" w:rsidRDefault="00392C0C" w:rsidP="00CF614A">
            <w:pPr>
              <w:pStyle w:val="TableText"/>
              <w:rPr>
                <w:color w:val="000000"/>
              </w:rPr>
            </w:pPr>
          </w:p>
        </w:tc>
        <w:tc>
          <w:tcPr>
            <w:tcW w:w="859" w:type="pct"/>
          </w:tcPr>
          <w:p w14:paraId="76FCD463" w14:textId="473A74F7" w:rsidR="00392C0C" w:rsidRPr="00E42077" w:rsidRDefault="00392C0C" w:rsidP="00CF614A">
            <w:pPr>
              <w:pStyle w:val="TableText"/>
              <w:rPr>
                <w:i/>
                <w:iCs/>
                <w:color w:val="000000"/>
              </w:rPr>
            </w:pPr>
            <w:r w:rsidRPr="00E42077">
              <w:rPr>
                <w:i/>
                <w:iCs/>
                <w:color w:val="000000"/>
              </w:rPr>
              <w:t>Culex quinq</w:t>
            </w:r>
            <w:r>
              <w:rPr>
                <w:i/>
                <w:iCs/>
                <w:color w:val="000000"/>
              </w:rPr>
              <w:t>u</w:t>
            </w:r>
            <w:r w:rsidRPr="00E42077">
              <w:rPr>
                <w:i/>
                <w:iCs/>
                <w:color w:val="000000"/>
              </w:rPr>
              <w:t>efasciatus</w:t>
            </w:r>
            <w:r w:rsidR="00CC21A3" w:rsidRPr="00CC21A3">
              <w:rPr>
                <w:i/>
                <w:iCs/>
                <w:color w:val="000000"/>
                <w:sz w:val="16"/>
                <w:szCs w:val="16"/>
              </w:rPr>
              <w:t> </w:t>
            </w:r>
            <w:r>
              <w:rPr>
                <w:rStyle w:val="Strong"/>
                <w:vertAlign w:val="superscript"/>
              </w:rPr>
              <w:t>d</w:t>
            </w:r>
          </w:p>
        </w:tc>
        <w:tc>
          <w:tcPr>
            <w:tcW w:w="781" w:type="pct"/>
          </w:tcPr>
          <w:p w14:paraId="5C6CE28F" w14:textId="19C46B26" w:rsidR="00392C0C" w:rsidRPr="00E42077" w:rsidRDefault="00392C0C" w:rsidP="00CF614A">
            <w:pPr>
              <w:pStyle w:val="TableText"/>
            </w:pPr>
            <w:r w:rsidRPr="00E42077">
              <w:rPr>
                <w:color w:val="000000"/>
              </w:rPr>
              <w:t xml:space="preserve">First </w:t>
            </w:r>
            <w:r>
              <w:rPr>
                <w:color w:val="000000"/>
              </w:rPr>
              <w:t>and</w:t>
            </w:r>
            <w:r w:rsidRPr="00E42077">
              <w:rPr>
                <w:color w:val="000000"/>
              </w:rPr>
              <w:t xml:space="preserve"> fourth instar larva</w:t>
            </w:r>
          </w:p>
        </w:tc>
        <w:tc>
          <w:tcPr>
            <w:tcW w:w="546" w:type="pct"/>
          </w:tcPr>
          <w:p w14:paraId="583C66E2" w14:textId="77777777" w:rsidR="00392C0C" w:rsidRPr="00E42077" w:rsidRDefault="00392C0C" w:rsidP="00CF614A">
            <w:pPr>
              <w:pStyle w:val="TableText"/>
            </w:pPr>
            <w:r w:rsidRPr="00E42077">
              <w:rPr>
                <w:color w:val="000000"/>
              </w:rPr>
              <w:t>2</w:t>
            </w:r>
          </w:p>
        </w:tc>
        <w:tc>
          <w:tcPr>
            <w:tcW w:w="1095" w:type="pct"/>
          </w:tcPr>
          <w:p w14:paraId="2043CB43" w14:textId="4F4DC3D7" w:rsidR="00392C0C" w:rsidRPr="00E42077" w:rsidRDefault="00392C0C" w:rsidP="00CF614A">
            <w:pPr>
              <w:pStyle w:val="TableText"/>
            </w:pPr>
            <w:r w:rsidRPr="00E42077">
              <w:rPr>
                <w:color w:val="000000"/>
              </w:rPr>
              <w:t>Acute LC50</w:t>
            </w:r>
            <w:r w:rsidR="00055895">
              <w:rPr>
                <w:color w:val="000000"/>
              </w:rPr>
              <w:br/>
            </w:r>
            <w:r w:rsidRPr="00E42077">
              <w:rPr>
                <w:color w:val="000000"/>
              </w:rPr>
              <w:t>(Mortality)</w:t>
            </w:r>
          </w:p>
        </w:tc>
        <w:tc>
          <w:tcPr>
            <w:tcW w:w="546" w:type="pct"/>
          </w:tcPr>
          <w:p w14:paraId="63D9970A" w14:textId="1F4F62C7" w:rsidR="00392C0C" w:rsidRPr="00E42077" w:rsidRDefault="00392C0C" w:rsidP="00CF614A">
            <w:pPr>
              <w:pStyle w:val="TableText"/>
            </w:pPr>
            <w:r>
              <w:rPr>
                <w:color w:val="000000"/>
              </w:rPr>
              <w:t>2.3</w:t>
            </w:r>
            <w:r w:rsidRPr="00E42077">
              <w:rPr>
                <w:color w:val="000000"/>
              </w:rPr>
              <w:t xml:space="preserve"> </w:t>
            </w:r>
            <w:r w:rsidRPr="00570E55">
              <w:rPr>
                <w:rStyle w:val="Strong"/>
                <w:vertAlign w:val="superscript"/>
              </w:rPr>
              <w:t xml:space="preserve">b, </w:t>
            </w:r>
            <w:r>
              <w:rPr>
                <w:rStyle w:val="Strong"/>
                <w:vertAlign w:val="superscript"/>
              </w:rPr>
              <w:t>e</w:t>
            </w:r>
          </w:p>
        </w:tc>
        <w:tc>
          <w:tcPr>
            <w:tcW w:w="546" w:type="pct"/>
          </w:tcPr>
          <w:p w14:paraId="2D844256" w14:textId="77777777" w:rsidR="00392C0C" w:rsidRPr="00E42077" w:rsidRDefault="00392C0C" w:rsidP="00CF614A">
            <w:pPr>
              <w:pStyle w:val="TableText"/>
            </w:pPr>
            <w:r w:rsidRPr="00E42077">
              <w:rPr>
                <w:color w:val="000000"/>
              </w:rPr>
              <w:t>0.</w:t>
            </w:r>
            <w:r>
              <w:rPr>
                <w:color w:val="000000"/>
              </w:rPr>
              <w:t>23</w:t>
            </w:r>
          </w:p>
        </w:tc>
      </w:tr>
      <w:tr w:rsidR="00084E30" w:rsidRPr="00ED728C" w14:paraId="02B44C5E" w14:textId="77777777" w:rsidTr="00CC21A3">
        <w:trPr>
          <w:cantSplit/>
        </w:trPr>
        <w:tc>
          <w:tcPr>
            <w:tcW w:w="627" w:type="pct"/>
            <w:vMerge/>
          </w:tcPr>
          <w:p w14:paraId="144D62BB" w14:textId="53465AD7" w:rsidR="00392C0C" w:rsidRPr="00E42077" w:rsidRDefault="00392C0C" w:rsidP="00CF614A">
            <w:pPr>
              <w:pStyle w:val="TableText"/>
              <w:rPr>
                <w:color w:val="000000"/>
              </w:rPr>
            </w:pPr>
          </w:p>
        </w:tc>
        <w:tc>
          <w:tcPr>
            <w:tcW w:w="859" w:type="pct"/>
          </w:tcPr>
          <w:p w14:paraId="77D162FE" w14:textId="3FCACEF2" w:rsidR="00392C0C" w:rsidRPr="00E42077" w:rsidRDefault="00392C0C" w:rsidP="00CF614A">
            <w:pPr>
              <w:pStyle w:val="TableText"/>
              <w:rPr>
                <w:i/>
                <w:color w:val="000000"/>
              </w:rPr>
            </w:pPr>
            <w:r w:rsidRPr="00E42077">
              <w:rPr>
                <w:i/>
                <w:iCs/>
                <w:color w:val="000000"/>
              </w:rPr>
              <w:t>Glyptotendipes paripes</w:t>
            </w:r>
          </w:p>
        </w:tc>
        <w:tc>
          <w:tcPr>
            <w:tcW w:w="781" w:type="pct"/>
          </w:tcPr>
          <w:p w14:paraId="36CF99EB" w14:textId="6271DE2C" w:rsidR="00392C0C" w:rsidRPr="00E42077" w:rsidRDefault="00392C0C" w:rsidP="00CF614A">
            <w:pPr>
              <w:pStyle w:val="TableText"/>
              <w:rPr>
                <w:color w:val="000000"/>
              </w:rPr>
            </w:pPr>
            <w:r w:rsidRPr="00E42077">
              <w:rPr>
                <w:color w:val="000000"/>
              </w:rPr>
              <w:t>Fourth instar larva</w:t>
            </w:r>
          </w:p>
        </w:tc>
        <w:tc>
          <w:tcPr>
            <w:tcW w:w="546" w:type="pct"/>
          </w:tcPr>
          <w:p w14:paraId="555098B9" w14:textId="45652A08" w:rsidR="00392C0C" w:rsidRPr="00E42077" w:rsidRDefault="00392C0C" w:rsidP="00CF614A">
            <w:pPr>
              <w:pStyle w:val="TableText"/>
              <w:rPr>
                <w:color w:val="000000"/>
              </w:rPr>
            </w:pPr>
            <w:r w:rsidRPr="00E42077">
              <w:rPr>
                <w:color w:val="000000"/>
              </w:rPr>
              <w:t>2</w:t>
            </w:r>
          </w:p>
        </w:tc>
        <w:tc>
          <w:tcPr>
            <w:tcW w:w="1095" w:type="pct"/>
          </w:tcPr>
          <w:p w14:paraId="0FFFCE92" w14:textId="53EAAB4B" w:rsidR="00392C0C" w:rsidRPr="00E42077" w:rsidRDefault="00392C0C" w:rsidP="00CF614A">
            <w:pPr>
              <w:pStyle w:val="TableText"/>
              <w:rPr>
                <w:color w:val="000000"/>
              </w:rPr>
            </w:pPr>
            <w:r w:rsidRPr="00E42077">
              <w:rPr>
                <w:color w:val="000000"/>
              </w:rPr>
              <w:t>Acute LC50</w:t>
            </w:r>
            <w:r w:rsidR="00055895">
              <w:rPr>
                <w:color w:val="000000"/>
              </w:rPr>
              <w:br/>
            </w:r>
            <w:r w:rsidRPr="00E42077">
              <w:rPr>
                <w:color w:val="000000"/>
              </w:rPr>
              <w:t>(Mortality)</w:t>
            </w:r>
          </w:p>
        </w:tc>
        <w:tc>
          <w:tcPr>
            <w:tcW w:w="546" w:type="pct"/>
          </w:tcPr>
          <w:p w14:paraId="63A476F3" w14:textId="070E8BFA" w:rsidR="00392C0C" w:rsidRPr="00E42077" w:rsidRDefault="00392C0C" w:rsidP="00CF614A">
            <w:pPr>
              <w:pStyle w:val="TableText"/>
              <w:rPr>
                <w:color w:val="000000"/>
              </w:rPr>
            </w:pPr>
            <w:r w:rsidRPr="00E42077">
              <w:rPr>
                <w:color w:val="000000"/>
              </w:rPr>
              <w:t xml:space="preserve">0.42 </w:t>
            </w:r>
            <w:r w:rsidRPr="00E303CD">
              <w:rPr>
                <w:rStyle w:val="Strong"/>
                <w:vertAlign w:val="superscript"/>
              </w:rPr>
              <w:t>b</w:t>
            </w:r>
          </w:p>
        </w:tc>
        <w:tc>
          <w:tcPr>
            <w:tcW w:w="546" w:type="pct"/>
          </w:tcPr>
          <w:p w14:paraId="37744628" w14:textId="541CABFE" w:rsidR="00392C0C" w:rsidRPr="00E42077" w:rsidRDefault="00392C0C" w:rsidP="00CF614A">
            <w:pPr>
              <w:pStyle w:val="TableText"/>
              <w:rPr>
                <w:color w:val="000000"/>
              </w:rPr>
            </w:pPr>
            <w:r w:rsidRPr="00E42077">
              <w:rPr>
                <w:color w:val="000000"/>
              </w:rPr>
              <w:t>0.042</w:t>
            </w:r>
          </w:p>
        </w:tc>
      </w:tr>
      <w:tr w:rsidR="00084E30" w:rsidRPr="00ED728C" w14:paraId="6850D698" w14:textId="77777777" w:rsidTr="00CC21A3">
        <w:trPr>
          <w:cantSplit/>
        </w:trPr>
        <w:tc>
          <w:tcPr>
            <w:tcW w:w="627" w:type="pct"/>
            <w:vMerge/>
          </w:tcPr>
          <w:p w14:paraId="758AC7E4" w14:textId="196BC1B0" w:rsidR="00392C0C" w:rsidRPr="00E42077" w:rsidRDefault="00392C0C" w:rsidP="00CF614A">
            <w:pPr>
              <w:pStyle w:val="TableText"/>
              <w:rPr>
                <w:color w:val="000000"/>
              </w:rPr>
            </w:pPr>
          </w:p>
        </w:tc>
        <w:tc>
          <w:tcPr>
            <w:tcW w:w="859" w:type="pct"/>
          </w:tcPr>
          <w:p w14:paraId="682379B3" w14:textId="56ED799C" w:rsidR="00392C0C" w:rsidRPr="00E42077" w:rsidRDefault="00392C0C" w:rsidP="00CF614A">
            <w:pPr>
              <w:pStyle w:val="TableText"/>
              <w:rPr>
                <w:i/>
                <w:color w:val="000000"/>
              </w:rPr>
            </w:pPr>
            <w:r w:rsidRPr="00E42077">
              <w:rPr>
                <w:i/>
                <w:iCs/>
                <w:color w:val="000000"/>
              </w:rPr>
              <w:t xml:space="preserve">Hexagenia </w:t>
            </w:r>
            <w:r w:rsidRPr="00D74EC7">
              <w:rPr>
                <w:color w:val="000000"/>
              </w:rPr>
              <w:t>sp.</w:t>
            </w:r>
          </w:p>
        </w:tc>
        <w:tc>
          <w:tcPr>
            <w:tcW w:w="781" w:type="pct"/>
          </w:tcPr>
          <w:p w14:paraId="3400BC3E" w14:textId="6F5F3175" w:rsidR="00392C0C" w:rsidRPr="00E42077" w:rsidRDefault="00392C0C" w:rsidP="00CF614A">
            <w:pPr>
              <w:pStyle w:val="TableText"/>
              <w:rPr>
                <w:color w:val="000000"/>
              </w:rPr>
            </w:pPr>
            <w:r w:rsidRPr="00E42077">
              <w:rPr>
                <w:color w:val="000000"/>
              </w:rPr>
              <w:t>Nymph</w:t>
            </w:r>
          </w:p>
        </w:tc>
        <w:tc>
          <w:tcPr>
            <w:tcW w:w="546" w:type="pct"/>
          </w:tcPr>
          <w:p w14:paraId="1B4265CD" w14:textId="31F942E7" w:rsidR="00392C0C" w:rsidRPr="00E42077" w:rsidRDefault="00392C0C" w:rsidP="00CF614A">
            <w:pPr>
              <w:pStyle w:val="TableText"/>
              <w:rPr>
                <w:color w:val="000000"/>
              </w:rPr>
            </w:pPr>
            <w:r w:rsidRPr="00E42077">
              <w:rPr>
                <w:color w:val="000000"/>
              </w:rPr>
              <w:t>4</w:t>
            </w:r>
          </w:p>
        </w:tc>
        <w:tc>
          <w:tcPr>
            <w:tcW w:w="1095" w:type="pct"/>
          </w:tcPr>
          <w:p w14:paraId="5D4823B1" w14:textId="40E1A2D5" w:rsidR="00392C0C" w:rsidRPr="00E42077" w:rsidRDefault="00392C0C" w:rsidP="00CF614A">
            <w:pPr>
              <w:pStyle w:val="TableText"/>
              <w:rPr>
                <w:color w:val="000000"/>
              </w:rPr>
            </w:pPr>
            <w:r w:rsidRPr="00E42077">
              <w:rPr>
                <w:color w:val="000000"/>
              </w:rPr>
              <w:t>Acute LC50</w:t>
            </w:r>
            <w:r w:rsidR="00055895">
              <w:rPr>
                <w:color w:val="000000"/>
              </w:rPr>
              <w:br/>
            </w:r>
            <w:r w:rsidRPr="00E42077">
              <w:rPr>
                <w:color w:val="000000"/>
              </w:rPr>
              <w:t>(Immobilisation)</w:t>
            </w:r>
          </w:p>
        </w:tc>
        <w:tc>
          <w:tcPr>
            <w:tcW w:w="546" w:type="pct"/>
          </w:tcPr>
          <w:p w14:paraId="338E1C50" w14:textId="02E0A66F" w:rsidR="00392C0C" w:rsidRPr="00E42077" w:rsidRDefault="00392C0C" w:rsidP="00CF614A">
            <w:pPr>
              <w:pStyle w:val="TableText"/>
              <w:rPr>
                <w:color w:val="000000"/>
              </w:rPr>
            </w:pPr>
            <w:r w:rsidRPr="00E42077">
              <w:rPr>
                <w:color w:val="000000"/>
              </w:rPr>
              <w:t xml:space="preserve">0.44 </w:t>
            </w:r>
            <w:r w:rsidRPr="00E303CD">
              <w:rPr>
                <w:rStyle w:val="Strong"/>
                <w:vertAlign w:val="superscript"/>
              </w:rPr>
              <w:t>b</w:t>
            </w:r>
          </w:p>
        </w:tc>
        <w:tc>
          <w:tcPr>
            <w:tcW w:w="546" w:type="pct"/>
          </w:tcPr>
          <w:p w14:paraId="6DE0E8D3" w14:textId="7F5DAD3D" w:rsidR="00392C0C" w:rsidRPr="00E42077" w:rsidRDefault="00392C0C" w:rsidP="00CF614A">
            <w:pPr>
              <w:pStyle w:val="TableText"/>
              <w:rPr>
                <w:color w:val="000000"/>
              </w:rPr>
            </w:pPr>
            <w:r w:rsidRPr="00E42077">
              <w:rPr>
                <w:color w:val="000000"/>
              </w:rPr>
              <w:t>0.044</w:t>
            </w:r>
          </w:p>
        </w:tc>
      </w:tr>
      <w:tr w:rsidR="00084E30" w:rsidRPr="00ED728C" w14:paraId="1950960F" w14:textId="77777777" w:rsidTr="00FC092B">
        <w:trPr>
          <w:cantSplit/>
          <w:trHeight w:val="99"/>
        </w:trPr>
        <w:tc>
          <w:tcPr>
            <w:tcW w:w="627" w:type="pct"/>
            <w:vMerge/>
          </w:tcPr>
          <w:p w14:paraId="4EEB8B65" w14:textId="36F41A83" w:rsidR="00392C0C" w:rsidRPr="00E42077" w:rsidRDefault="00392C0C" w:rsidP="00CF614A">
            <w:pPr>
              <w:pStyle w:val="TableText"/>
              <w:rPr>
                <w:color w:val="000000"/>
              </w:rPr>
            </w:pPr>
          </w:p>
        </w:tc>
        <w:tc>
          <w:tcPr>
            <w:tcW w:w="859" w:type="pct"/>
            <w:tcBorders>
              <w:bottom w:val="single" w:sz="4" w:space="0" w:color="auto"/>
            </w:tcBorders>
          </w:tcPr>
          <w:p w14:paraId="3D4F7A55" w14:textId="636EEB03" w:rsidR="00392C0C" w:rsidRPr="00E42077" w:rsidRDefault="00392C0C" w:rsidP="00FC092B">
            <w:pPr>
              <w:pStyle w:val="TableText"/>
              <w:spacing w:after="50"/>
              <w:rPr>
                <w:i/>
                <w:color w:val="000000"/>
              </w:rPr>
            </w:pPr>
            <w:r w:rsidRPr="00E42077">
              <w:rPr>
                <w:i/>
                <w:color w:val="000000"/>
              </w:rPr>
              <w:t xml:space="preserve">Polypedilum nubiferum </w:t>
            </w:r>
            <w:r>
              <w:rPr>
                <w:rStyle w:val="Strong"/>
                <w:vertAlign w:val="superscript"/>
              </w:rPr>
              <w:t>d</w:t>
            </w:r>
          </w:p>
        </w:tc>
        <w:tc>
          <w:tcPr>
            <w:tcW w:w="781" w:type="pct"/>
            <w:tcBorders>
              <w:bottom w:val="single" w:sz="4" w:space="0" w:color="auto"/>
            </w:tcBorders>
          </w:tcPr>
          <w:p w14:paraId="2D14E426" w14:textId="3BF56852" w:rsidR="00392C0C" w:rsidRPr="00E42077" w:rsidRDefault="00392C0C" w:rsidP="00FC092B">
            <w:pPr>
              <w:pStyle w:val="TableText"/>
              <w:spacing w:after="50"/>
              <w:rPr>
                <w:color w:val="000000"/>
              </w:rPr>
            </w:pPr>
            <w:r w:rsidRPr="00E42077">
              <w:rPr>
                <w:color w:val="000000"/>
              </w:rPr>
              <w:t>Fourth instar larva</w:t>
            </w:r>
          </w:p>
        </w:tc>
        <w:tc>
          <w:tcPr>
            <w:tcW w:w="546" w:type="pct"/>
            <w:tcBorders>
              <w:bottom w:val="single" w:sz="4" w:space="0" w:color="auto"/>
            </w:tcBorders>
          </w:tcPr>
          <w:p w14:paraId="15815468" w14:textId="50AFEB07" w:rsidR="00392C0C" w:rsidRPr="00E42077" w:rsidRDefault="00392C0C" w:rsidP="00FC092B">
            <w:pPr>
              <w:pStyle w:val="TableText"/>
              <w:spacing w:after="50"/>
              <w:rPr>
                <w:color w:val="000000"/>
              </w:rPr>
            </w:pPr>
            <w:r w:rsidRPr="00E42077">
              <w:rPr>
                <w:color w:val="000000"/>
              </w:rPr>
              <w:t>2</w:t>
            </w:r>
          </w:p>
        </w:tc>
        <w:tc>
          <w:tcPr>
            <w:tcW w:w="1095" w:type="pct"/>
            <w:tcBorders>
              <w:bottom w:val="single" w:sz="4" w:space="0" w:color="auto"/>
            </w:tcBorders>
          </w:tcPr>
          <w:p w14:paraId="1D8FE204" w14:textId="057560B5" w:rsidR="00392C0C" w:rsidRPr="00E42077" w:rsidRDefault="00392C0C" w:rsidP="00FC092B">
            <w:pPr>
              <w:pStyle w:val="TableText"/>
              <w:spacing w:after="50"/>
              <w:rPr>
                <w:color w:val="000000"/>
              </w:rPr>
            </w:pPr>
            <w:r w:rsidRPr="00E42077">
              <w:rPr>
                <w:color w:val="000000"/>
              </w:rPr>
              <w:t>Acute LC50</w:t>
            </w:r>
            <w:r w:rsidR="00055895">
              <w:rPr>
                <w:color w:val="000000"/>
              </w:rPr>
              <w:br/>
            </w:r>
            <w:r w:rsidRPr="00E42077">
              <w:rPr>
                <w:color w:val="000000"/>
              </w:rPr>
              <w:t>(Mortality)</w:t>
            </w:r>
          </w:p>
        </w:tc>
        <w:tc>
          <w:tcPr>
            <w:tcW w:w="546" w:type="pct"/>
            <w:tcBorders>
              <w:bottom w:val="single" w:sz="4" w:space="0" w:color="auto"/>
            </w:tcBorders>
          </w:tcPr>
          <w:p w14:paraId="33DE6AD4" w14:textId="10D61C29" w:rsidR="00392C0C" w:rsidRPr="00E42077" w:rsidRDefault="00392C0C" w:rsidP="00FC092B">
            <w:pPr>
              <w:pStyle w:val="TableText"/>
              <w:spacing w:after="50"/>
              <w:rPr>
                <w:color w:val="000000"/>
              </w:rPr>
            </w:pPr>
            <w:r w:rsidRPr="00E42077">
              <w:rPr>
                <w:color w:val="000000"/>
              </w:rPr>
              <w:t xml:space="preserve">1 </w:t>
            </w:r>
            <w:r w:rsidRPr="00E303CD">
              <w:rPr>
                <w:rStyle w:val="Strong"/>
                <w:vertAlign w:val="superscript"/>
              </w:rPr>
              <w:t>b</w:t>
            </w:r>
          </w:p>
        </w:tc>
        <w:tc>
          <w:tcPr>
            <w:tcW w:w="546" w:type="pct"/>
            <w:tcBorders>
              <w:bottom w:val="single" w:sz="4" w:space="0" w:color="auto"/>
            </w:tcBorders>
          </w:tcPr>
          <w:p w14:paraId="76B50368" w14:textId="01031C20" w:rsidR="00392C0C" w:rsidRPr="00E42077" w:rsidRDefault="00392C0C" w:rsidP="00FC092B">
            <w:pPr>
              <w:pStyle w:val="TableText"/>
              <w:spacing w:after="50"/>
              <w:rPr>
                <w:color w:val="000000"/>
              </w:rPr>
            </w:pPr>
            <w:r w:rsidRPr="00E42077">
              <w:rPr>
                <w:color w:val="000000"/>
              </w:rPr>
              <w:t>0.1</w:t>
            </w:r>
          </w:p>
        </w:tc>
      </w:tr>
      <w:tr w:rsidR="00084E30" w:rsidRPr="00ED728C" w14:paraId="5F2B5C83" w14:textId="77777777" w:rsidTr="00CC21A3">
        <w:trPr>
          <w:cantSplit/>
        </w:trPr>
        <w:tc>
          <w:tcPr>
            <w:tcW w:w="627" w:type="pct"/>
            <w:vMerge/>
            <w:tcBorders>
              <w:bottom w:val="single" w:sz="12" w:space="0" w:color="auto"/>
            </w:tcBorders>
          </w:tcPr>
          <w:p w14:paraId="77D1D267" w14:textId="2850DD66" w:rsidR="00392C0C" w:rsidRPr="00E42077" w:rsidRDefault="00392C0C" w:rsidP="00CF614A">
            <w:pPr>
              <w:pStyle w:val="TableText"/>
              <w:rPr>
                <w:color w:val="000000"/>
              </w:rPr>
            </w:pPr>
          </w:p>
        </w:tc>
        <w:tc>
          <w:tcPr>
            <w:tcW w:w="859" w:type="pct"/>
            <w:tcBorders>
              <w:bottom w:val="single" w:sz="12" w:space="0" w:color="auto"/>
            </w:tcBorders>
          </w:tcPr>
          <w:p w14:paraId="4781A71D" w14:textId="77777777" w:rsidR="00392C0C" w:rsidRPr="00E42077" w:rsidRDefault="00392C0C" w:rsidP="00FC092B">
            <w:pPr>
              <w:pStyle w:val="TableText"/>
              <w:spacing w:after="50"/>
              <w:rPr>
                <w:i/>
                <w:iCs/>
                <w:color w:val="000000"/>
              </w:rPr>
            </w:pPr>
            <w:r w:rsidRPr="00E42077">
              <w:rPr>
                <w:i/>
                <w:color w:val="000000"/>
              </w:rPr>
              <w:t>Simulium vittatum</w:t>
            </w:r>
          </w:p>
        </w:tc>
        <w:tc>
          <w:tcPr>
            <w:tcW w:w="781" w:type="pct"/>
            <w:tcBorders>
              <w:bottom w:val="single" w:sz="12" w:space="0" w:color="auto"/>
            </w:tcBorders>
          </w:tcPr>
          <w:p w14:paraId="53F4DA60" w14:textId="2D052BED" w:rsidR="00392C0C" w:rsidRPr="00E42077" w:rsidRDefault="00392C0C" w:rsidP="00FC092B">
            <w:pPr>
              <w:pStyle w:val="TableText"/>
              <w:spacing w:after="50"/>
            </w:pPr>
            <w:r>
              <w:rPr>
                <w:color w:val="000000"/>
              </w:rPr>
              <w:t>Fourth and f</w:t>
            </w:r>
            <w:r w:rsidRPr="00E42077">
              <w:rPr>
                <w:color w:val="000000"/>
              </w:rPr>
              <w:t>ifth instar larva</w:t>
            </w:r>
          </w:p>
        </w:tc>
        <w:tc>
          <w:tcPr>
            <w:tcW w:w="546" w:type="pct"/>
            <w:tcBorders>
              <w:bottom w:val="single" w:sz="12" w:space="0" w:color="auto"/>
            </w:tcBorders>
          </w:tcPr>
          <w:p w14:paraId="736A82B8" w14:textId="77777777" w:rsidR="00392C0C" w:rsidRPr="00E42077" w:rsidRDefault="00392C0C" w:rsidP="00FC092B">
            <w:pPr>
              <w:pStyle w:val="TableText"/>
              <w:spacing w:after="50"/>
            </w:pPr>
            <w:r w:rsidRPr="00E42077">
              <w:rPr>
                <w:color w:val="000000"/>
              </w:rPr>
              <w:t>2</w:t>
            </w:r>
          </w:p>
        </w:tc>
        <w:tc>
          <w:tcPr>
            <w:tcW w:w="1095" w:type="pct"/>
            <w:tcBorders>
              <w:bottom w:val="single" w:sz="12" w:space="0" w:color="auto"/>
            </w:tcBorders>
          </w:tcPr>
          <w:p w14:paraId="5825B19F" w14:textId="71B6FDD0" w:rsidR="00392C0C" w:rsidRPr="00E42077" w:rsidRDefault="00392C0C" w:rsidP="00FC092B">
            <w:pPr>
              <w:pStyle w:val="TableText"/>
              <w:spacing w:after="50"/>
            </w:pPr>
            <w:r w:rsidRPr="00E42077">
              <w:rPr>
                <w:color w:val="000000"/>
              </w:rPr>
              <w:t>Acute LC50</w:t>
            </w:r>
            <w:r w:rsidR="00055895">
              <w:rPr>
                <w:color w:val="000000"/>
              </w:rPr>
              <w:br/>
            </w:r>
            <w:r w:rsidRPr="00E42077">
              <w:rPr>
                <w:color w:val="000000"/>
              </w:rPr>
              <w:t>(Mortality)</w:t>
            </w:r>
          </w:p>
        </w:tc>
        <w:tc>
          <w:tcPr>
            <w:tcW w:w="546" w:type="pct"/>
            <w:tcBorders>
              <w:bottom w:val="single" w:sz="12" w:space="0" w:color="auto"/>
            </w:tcBorders>
          </w:tcPr>
          <w:p w14:paraId="391C0671" w14:textId="1FFD47EC" w:rsidR="00392C0C" w:rsidRPr="00E42077" w:rsidRDefault="00392C0C" w:rsidP="00FC092B">
            <w:pPr>
              <w:pStyle w:val="TableText"/>
              <w:spacing w:after="50"/>
            </w:pPr>
            <w:r w:rsidRPr="00E42077">
              <w:rPr>
                <w:color w:val="000000"/>
              </w:rPr>
              <w:t>0.29</w:t>
            </w:r>
            <w:r w:rsidRPr="00D74EC7">
              <w:rPr>
                <w:color w:val="000000"/>
              </w:rPr>
              <w:t xml:space="preserve"> </w:t>
            </w:r>
            <w:r w:rsidRPr="00E303CD">
              <w:rPr>
                <w:rStyle w:val="Strong"/>
                <w:vertAlign w:val="superscript"/>
              </w:rPr>
              <w:t xml:space="preserve">b, </w:t>
            </w:r>
            <w:r>
              <w:rPr>
                <w:rStyle w:val="Strong"/>
                <w:vertAlign w:val="superscript"/>
              </w:rPr>
              <w:t>e</w:t>
            </w:r>
          </w:p>
        </w:tc>
        <w:tc>
          <w:tcPr>
            <w:tcW w:w="546" w:type="pct"/>
            <w:tcBorders>
              <w:bottom w:val="single" w:sz="12" w:space="0" w:color="auto"/>
            </w:tcBorders>
          </w:tcPr>
          <w:p w14:paraId="032FE330" w14:textId="77777777" w:rsidR="00392C0C" w:rsidRPr="00E42077" w:rsidRDefault="00392C0C" w:rsidP="00FC092B">
            <w:pPr>
              <w:pStyle w:val="TableText"/>
              <w:spacing w:after="50"/>
            </w:pPr>
            <w:r w:rsidRPr="00E42077">
              <w:rPr>
                <w:color w:val="000000"/>
              </w:rPr>
              <w:t>0.029</w:t>
            </w:r>
          </w:p>
        </w:tc>
      </w:tr>
    </w:tbl>
    <w:bookmarkEnd w:id="26"/>
    <w:p w14:paraId="3E6853B1" w14:textId="4630ED97" w:rsidR="00D277C5" w:rsidRPr="00D277C5" w:rsidRDefault="00D277C5" w:rsidP="00FC092B">
      <w:pPr>
        <w:pStyle w:val="FigureTableNoteSource"/>
        <w:spacing w:before="60"/>
        <w:rPr>
          <w:rStyle w:val="Strong"/>
          <w:b w:val="0"/>
          <w:bCs w:val="0"/>
        </w:rPr>
      </w:pPr>
      <w:r w:rsidRPr="00D277C5">
        <w:rPr>
          <w:rStyle w:val="Strong"/>
          <w:b w:val="0"/>
          <w:bCs w:val="0"/>
        </w:rPr>
        <w:t xml:space="preserve">– : </w:t>
      </w:r>
      <w:r w:rsidR="003E7FD1">
        <w:rPr>
          <w:rStyle w:val="Strong"/>
          <w:b w:val="0"/>
          <w:bCs w:val="0"/>
        </w:rPr>
        <w:t>N</w:t>
      </w:r>
      <w:r w:rsidRPr="00D277C5">
        <w:rPr>
          <w:rStyle w:val="Strong"/>
          <w:b w:val="0"/>
          <w:bCs w:val="0"/>
        </w:rPr>
        <w:t>ot stated</w:t>
      </w:r>
      <w:r w:rsidR="00DD3DB7">
        <w:rPr>
          <w:rStyle w:val="Strong"/>
          <w:b w:val="0"/>
          <w:bCs w:val="0"/>
        </w:rPr>
        <w:t xml:space="preserve"> or</w:t>
      </w:r>
      <w:r w:rsidRPr="00D277C5">
        <w:rPr>
          <w:rStyle w:val="Strong"/>
          <w:b w:val="0"/>
          <w:bCs w:val="0"/>
        </w:rPr>
        <w:t xml:space="preserve"> not applicable.</w:t>
      </w:r>
    </w:p>
    <w:p w14:paraId="664D3901" w14:textId="320858E9" w:rsidR="0032793C" w:rsidRPr="00EA4BE2" w:rsidRDefault="0032793C" w:rsidP="00E8209D">
      <w:pPr>
        <w:pStyle w:val="FigureTableNoteSource"/>
      </w:pPr>
      <w:r w:rsidRPr="00D74EC7">
        <w:rPr>
          <w:rStyle w:val="Strong"/>
        </w:rPr>
        <w:t>a</w:t>
      </w:r>
      <w:r>
        <w:t xml:space="preserve"> </w:t>
      </w:r>
      <w:r w:rsidRPr="00EA4BE2">
        <w:t>The measure of toxicity being determined</w:t>
      </w:r>
      <w:r w:rsidR="00B65EAB">
        <w:t>.</w:t>
      </w:r>
      <w:r w:rsidRPr="00EA4BE2">
        <w:t xml:space="preserve"> LC50: median lethal concentration</w:t>
      </w:r>
      <w:r>
        <w:t>; LOEC: lowest observed effect concentration; NOEC/NOEL: no observed effect concentration/level.</w:t>
      </w:r>
    </w:p>
    <w:p w14:paraId="379E188A" w14:textId="3F3BB00C" w:rsidR="00D74EC7" w:rsidRDefault="0032793C" w:rsidP="00E8209D">
      <w:pPr>
        <w:pStyle w:val="FigureTableNoteSource"/>
        <w:rPr>
          <w:rFonts w:cstheme="minorHAnsi"/>
        </w:rPr>
      </w:pPr>
      <w:r w:rsidRPr="00D74EC7">
        <w:rPr>
          <w:rStyle w:val="Strong"/>
        </w:rPr>
        <w:t>b</w:t>
      </w:r>
      <w:r w:rsidRPr="00B516B9">
        <w:rPr>
          <w:rFonts w:cstheme="minorHAnsi"/>
        </w:rPr>
        <w:t xml:space="preserve"> </w:t>
      </w:r>
      <w:r w:rsidR="000200DB" w:rsidRPr="00B516B9">
        <w:rPr>
          <w:rFonts w:cstheme="minorHAnsi"/>
        </w:rPr>
        <w:t>Acute EC50</w:t>
      </w:r>
      <w:r w:rsidR="00B65EAB">
        <w:rPr>
          <w:rFonts w:cstheme="minorHAnsi"/>
        </w:rPr>
        <w:t xml:space="preserve"> and</w:t>
      </w:r>
      <w:r w:rsidR="000200DB" w:rsidRPr="00B516B9">
        <w:rPr>
          <w:rFonts w:cstheme="minorHAnsi"/>
        </w:rPr>
        <w:t xml:space="preserve">LC50 values were converted to chronic </w:t>
      </w:r>
      <w:r>
        <w:rPr>
          <w:rFonts w:cstheme="minorHAnsi"/>
        </w:rPr>
        <w:t>negligible effect</w:t>
      </w:r>
      <w:r w:rsidRPr="00B516B9">
        <w:rPr>
          <w:rFonts w:cstheme="minorHAnsi"/>
        </w:rPr>
        <w:t xml:space="preserve"> </w:t>
      </w:r>
      <w:r w:rsidR="000200DB" w:rsidRPr="00B516B9">
        <w:rPr>
          <w:rFonts w:cstheme="minorHAnsi"/>
        </w:rPr>
        <w:t>values by dividing by 10 (Warne et al. 2018).</w:t>
      </w:r>
    </w:p>
    <w:p w14:paraId="178BF4DF" w14:textId="77777777" w:rsidR="00D74EC7" w:rsidRDefault="0032793C" w:rsidP="00E8209D">
      <w:pPr>
        <w:pStyle w:val="FigureTableNoteSource"/>
        <w:rPr>
          <w:rFonts w:cstheme="minorHAnsi"/>
        </w:rPr>
      </w:pPr>
      <w:r w:rsidRPr="00D74EC7">
        <w:rPr>
          <w:rStyle w:val="Strong"/>
        </w:rPr>
        <w:t>c</w:t>
      </w:r>
      <w:r>
        <w:rPr>
          <w:rFonts w:cstheme="minorHAnsi"/>
        </w:rPr>
        <w:t xml:space="preserve"> </w:t>
      </w:r>
      <w:r w:rsidR="00A91059" w:rsidRPr="00B516B9">
        <w:rPr>
          <w:rFonts w:cstheme="minorHAnsi"/>
        </w:rPr>
        <w:t xml:space="preserve">Chronic LOEC and LC50 values were converted to chronic </w:t>
      </w:r>
      <w:r>
        <w:rPr>
          <w:rFonts w:cstheme="minorHAnsi"/>
        </w:rPr>
        <w:t>negligible effect</w:t>
      </w:r>
      <w:r w:rsidR="00A91059" w:rsidRPr="00B516B9">
        <w:rPr>
          <w:rFonts w:cstheme="minorHAnsi"/>
        </w:rPr>
        <w:t xml:space="preserve"> values by dividing by 2.5 and 5, respectively</w:t>
      </w:r>
      <w:r w:rsidR="00A91059">
        <w:rPr>
          <w:rFonts w:cstheme="minorHAnsi"/>
        </w:rPr>
        <w:t xml:space="preserve"> </w:t>
      </w:r>
      <w:r w:rsidR="00A91059" w:rsidRPr="00B516B9">
        <w:rPr>
          <w:rFonts w:cstheme="minorHAnsi"/>
        </w:rPr>
        <w:t>(Warne et al. 2018).</w:t>
      </w:r>
    </w:p>
    <w:p w14:paraId="74A05654" w14:textId="01B362C9" w:rsidR="00A91059" w:rsidRDefault="00546ADF" w:rsidP="00E8209D">
      <w:pPr>
        <w:pStyle w:val="FigureTableNoteSource"/>
        <w:rPr>
          <w:rFonts w:cstheme="minorHAnsi"/>
        </w:rPr>
      </w:pPr>
      <w:r>
        <w:rPr>
          <w:rStyle w:val="Strong"/>
        </w:rPr>
        <w:t>d</w:t>
      </w:r>
      <w:r w:rsidR="005B0BC5">
        <w:rPr>
          <w:rFonts w:cstheme="minorHAnsi"/>
        </w:rPr>
        <w:t xml:space="preserve"> </w:t>
      </w:r>
      <w:r w:rsidR="00A91059" w:rsidRPr="00B516B9">
        <w:rPr>
          <w:rFonts w:cstheme="minorHAnsi"/>
        </w:rPr>
        <w:t>Species that originate from</w:t>
      </w:r>
      <w:r w:rsidR="00F54143">
        <w:rPr>
          <w:rFonts w:cstheme="minorHAnsi"/>
        </w:rPr>
        <w:t>,</w:t>
      </w:r>
      <w:r w:rsidR="00A91059" w:rsidRPr="00B516B9">
        <w:rPr>
          <w:rFonts w:cstheme="minorHAnsi"/>
        </w:rPr>
        <w:t xml:space="preserve"> or </w:t>
      </w:r>
      <w:r w:rsidR="00F54143">
        <w:rPr>
          <w:rFonts w:cstheme="minorHAnsi"/>
        </w:rPr>
        <w:t>are distributed in,</w:t>
      </w:r>
      <w:r w:rsidR="00A91059" w:rsidRPr="00B516B9">
        <w:rPr>
          <w:rFonts w:cstheme="minorHAnsi"/>
        </w:rPr>
        <w:t xml:space="preserve"> Australia and/or New Zealand.</w:t>
      </w:r>
    </w:p>
    <w:p w14:paraId="458900A9" w14:textId="438B62D4" w:rsidR="00117BC9" w:rsidRDefault="00546ADF" w:rsidP="00FC092B">
      <w:pPr>
        <w:pStyle w:val="FigureTableNoteSource"/>
        <w:spacing w:after="180"/>
        <w:rPr>
          <w:rFonts w:cstheme="minorHAnsi"/>
        </w:rPr>
      </w:pPr>
      <w:r>
        <w:rPr>
          <w:rStyle w:val="Strong"/>
        </w:rPr>
        <w:t>e</w:t>
      </w:r>
      <w:r w:rsidR="00117BC9">
        <w:rPr>
          <w:rFonts w:cstheme="minorHAnsi"/>
        </w:rPr>
        <w:t xml:space="preserve"> Value </w:t>
      </w:r>
      <w:r w:rsidR="00705326">
        <w:rPr>
          <w:rFonts w:cstheme="minorHAnsi"/>
        </w:rPr>
        <w:t>is</w:t>
      </w:r>
      <w:r w:rsidR="007F787E">
        <w:rPr>
          <w:rFonts w:cstheme="minorHAnsi"/>
        </w:rPr>
        <w:t xml:space="preserve"> a</w:t>
      </w:r>
      <w:r w:rsidR="00117BC9">
        <w:rPr>
          <w:rFonts w:cstheme="minorHAnsi"/>
        </w:rPr>
        <w:t xml:space="preserve"> geometric mean of &gt;1 </w:t>
      </w:r>
      <w:r w:rsidR="007F787E">
        <w:rPr>
          <w:rFonts w:cstheme="minorHAnsi"/>
        </w:rPr>
        <w:t xml:space="preserve">toxicity value (see </w:t>
      </w:r>
      <w:r w:rsidR="001D3A34">
        <w:rPr>
          <w:rFonts w:cstheme="minorHAnsi"/>
        </w:rPr>
        <w:fldChar w:fldCharType="begin"/>
      </w:r>
      <w:r w:rsidR="001D3A34">
        <w:rPr>
          <w:rFonts w:cstheme="minorHAnsi"/>
        </w:rPr>
        <w:instrText xml:space="preserve"> REF _Ref199343477 \h </w:instrText>
      </w:r>
      <w:r w:rsidR="001D3A34">
        <w:rPr>
          <w:rFonts w:cstheme="minorHAnsi"/>
        </w:rPr>
      </w:r>
      <w:r w:rsidR="001D3A34">
        <w:rPr>
          <w:rFonts w:cstheme="minorHAnsi"/>
        </w:rPr>
        <w:fldChar w:fldCharType="separate"/>
      </w:r>
      <w:r w:rsidR="00BA1209" w:rsidRPr="00177832">
        <w:t>Appendix</w:t>
      </w:r>
      <w:r w:rsidR="00BA1209">
        <w:t> </w:t>
      </w:r>
      <w:r w:rsidR="00BA1209" w:rsidRPr="00177832">
        <w:t xml:space="preserve">A: </w:t>
      </w:r>
      <w:r w:rsidR="00BA1209">
        <w:t>T</w:t>
      </w:r>
      <w:r w:rsidR="00BA1209" w:rsidRPr="00177832">
        <w:t xml:space="preserve">oxicity data </w:t>
      </w:r>
      <w:r w:rsidR="00BA1209">
        <w:t xml:space="preserve">that passed the screening and quality assessment and were </w:t>
      </w:r>
      <w:r w:rsidR="00BA1209" w:rsidRPr="00177832">
        <w:t xml:space="preserve">used to derive </w:t>
      </w:r>
      <w:r w:rsidR="00BA1209">
        <w:t xml:space="preserve">the </w:t>
      </w:r>
      <w:r w:rsidR="00BA1209" w:rsidRPr="00177832">
        <w:t>default guideline values</w:t>
      </w:r>
      <w:r w:rsidR="001D3A34">
        <w:rPr>
          <w:rFonts w:cstheme="minorHAnsi"/>
        </w:rPr>
        <w:fldChar w:fldCharType="end"/>
      </w:r>
      <w:r w:rsidR="007F787E">
        <w:rPr>
          <w:rFonts w:cstheme="minorHAnsi"/>
        </w:rPr>
        <w:t>).</w:t>
      </w:r>
    </w:p>
    <w:p w14:paraId="396F817B" w14:textId="19921D23" w:rsidR="00927E35" w:rsidRDefault="00ED728C" w:rsidP="00A41D90">
      <w:pPr>
        <w:spacing w:after="160"/>
      </w:pPr>
      <w:r w:rsidRPr="00D8316B">
        <w:t xml:space="preserve">To identify species that were relevant to Australia and New Zealand ecosystems, </w:t>
      </w:r>
      <w:r w:rsidR="007C0847">
        <w:t>the following databases were searched:</w:t>
      </w:r>
      <w:r w:rsidRPr="00D8316B">
        <w:t xml:space="preserve"> Algae</w:t>
      </w:r>
      <w:r w:rsidR="007C0847">
        <w:t>B</w:t>
      </w:r>
      <w:r w:rsidRPr="00D8316B">
        <w:t>ase (Guiry and Guiry 2017)</w:t>
      </w:r>
      <w:r w:rsidR="00FD5799">
        <w:t>;</w:t>
      </w:r>
      <w:r w:rsidRPr="00D8316B">
        <w:t xml:space="preserve"> Atlas of Living Australia (ALA 2017)</w:t>
      </w:r>
      <w:r w:rsidR="00FD5799">
        <w:t>;</w:t>
      </w:r>
      <w:r w:rsidRPr="00D8316B">
        <w:t xml:space="preserve"> Catalogue of Life (Roskov et al. 2017)</w:t>
      </w:r>
      <w:r w:rsidR="00FD5799">
        <w:t>;</w:t>
      </w:r>
      <w:r w:rsidRPr="00D8316B">
        <w:t xml:space="preserve"> Integrated Taxonomic Information System (</w:t>
      </w:r>
      <w:r w:rsidR="00422ABC">
        <w:t>I</w:t>
      </w:r>
      <w:r w:rsidR="00FD5799">
        <w:t>TIS</w:t>
      </w:r>
      <w:r w:rsidRPr="00125F2B">
        <w:t xml:space="preserve"> 2017)</w:t>
      </w:r>
      <w:r w:rsidR="00FD5799">
        <w:t>;</w:t>
      </w:r>
      <w:r w:rsidRPr="00125F2B">
        <w:t xml:space="preserve"> and World Register of Marine Species (WoRMS 2017). </w:t>
      </w:r>
      <w:r w:rsidR="004B136B">
        <w:t>The dataset used in the DGV derivation for fipronil in marine water (</w:t>
      </w:r>
      <w:r w:rsidR="009A68B7">
        <w:fldChar w:fldCharType="begin"/>
      </w:r>
      <w:r w:rsidR="009A68B7">
        <w:instrText xml:space="preserve"> REF _Ref129766359 \h </w:instrText>
      </w:r>
      <w:r w:rsidR="009A68B7">
        <w:fldChar w:fldCharType="separate"/>
      </w:r>
      <w:r w:rsidR="00BA1209">
        <w:t>Table </w:t>
      </w:r>
      <w:r w:rsidR="00BA1209">
        <w:rPr>
          <w:noProof/>
        </w:rPr>
        <w:t>2</w:t>
      </w:r>
      <w:r w:rsidR="009A68B7">
        <w:fldChar w:fldCharType="end"/>
      </w:r>
      <w:r w:rsidR="004B136B">
        <w:t>) includes toxicity data for six freshwater species that originate from</w:t>
      </w:r>
      <w:r w:rsidR="00FD5799">
        <w:t>,</w:t>
      </w:r>
      <w:r w:rsidR="004B136B">
        <w:t xml:space="preserve"> or are distributed in</w:t>
      </w:r>
      <w:r w:rsidR="00FD5799">
        <w:t>,</w:t>
      </w:r>
      <w:r w:rsidR="004B136B">
        <w:t xml:space="preserve"> Australia and/or New Zealand.</w:t>
      </w:r>
    </w:p>
    <w:p w14:paraId="58B4DB69" w14:textId="4467C4E8" w:rsidR="008F7426" w:rsidRPr="00E51A6B" w:rsidRDefault="008F7426" w:rsidP="00A41D90">
      <w:pPr>
        <w:pStyle w:val="Heading3"/>
        <w:spacing w:before="160" w:after="200"/>
      </w:pPr>
      <w:bookmarkStart w:id="27" w:name="_Toc46327093"/>
      <w:bookmarkStart w:id="28" w:name="_Toc205549920"/>
      <w:r w:rsidRPr="00E51A6B">
        <w:t>Species sensitivity distribution</w:t>
      </w:r>
      <w:bookmarkEnd w:id="27"/>
      <w:bookmarkEnd w:id="28"/>
    </w:p>
    <w:p w14:paraId="02C0CB8C" w14:textId="68072CF0" w:rsidR="001D0AB4" w:rsidRPr="00463EFB" w:rsidRDefault="00ED728C" w:rsidP="00FC092B">
      <w:pPr>
        <w:spacing w:after="160"/>
      </w:pPr>
      <w:r w:rsidRPr="008537DF">
        <w:t xml:space="preserve">The cumulative frequency (species sensitivity) distribution (SSD) of the </w:t>
      </w:r>
      <w:r>
        <w:t>24</w:t>
      </w:r>
      <w:r w:rsidRPr="008537DF">
        <w:t xml:space="preserve"> </w:t>
      </w:r>
      <w:r w:rsidR="00415CD7">
        <w:t>toxicity values</w:t>
      </w:r>
      <w:r w:rsidRPr="008537DF">
        <w:t xml:space="preserve"> used to derive the </w:t>
      </w:r>
      <w:r>
        <w:t>D</w:t>
      </w:r>
      <w:r w:rsidRPr="008537DF">
        <w:t xml:space="preserve">GVs </w:t>
      </w:r>
      <w:r w:rsidR="00935637">
        <w:t xml:space="preserve">is </w:t>
      </w:r>
      <w:r>
        <w:t xml:space="preserve">presented in </w:t>
      </w:r>
      <w:r w:rsidR="00996C07">
        <w:fldChar w:fldCharType="begin"/>
      </w:r>
      <w:r w:rsidR="00996C07">
        <w:instrText xml:space="preserve"> REF _Ref199343208 \h </w:instrText>
      </w:r>
      <w:r w:rsidR="00996C07">
        <w:fldChar w:fldCharType="separate"/>
      </w:r>
      <w:r w:rsidR="00BA1209">
        <w:t>Figure </w:t>
      </w:r>
      <w:r w:rsidR="00BA1209">
        <w:rPr>
          <w:noProof/>
        </w:rPr>
        <w:t>2</w:t>
      </w:r>
      <w:r w:rsidR="00996C07">
        <w:fldChar w:fldCharType="end"/>
      </w:r>
      <w:r>
        <w:t>.</w:t>
      </w:r>
      <w:r w:rsidRPr="003C689F">
        <w:t xml:space="preserve"> </w:t>
      </w:r>
      <w:r>
        <w:t>The SSD was plotted u</w:t>
      </w:r>
      <w:r w:rsidRPr="00ED728C">
        <w:rPr>
          <w:bCs/>
        </w:rPr>
        <w:t xml:space="preserve">sing </w:t>
      </w:r>
      <w:r w:rsidRPr="00463EFB">
        <w:rPr>
          <w:bCs/>
        </w:rPr>
        <w:t>the Burrlioz 2.0 software</w:t>
      </w:r>
      <w:r w:rsidR="00415CD7">
        <w:rPr>
          <w:bCs/>
        </w:rPr>
        <w:t xml:space="preserve">, and the </w:t>
      </w:r>
      <w:r w:rsidRPr="00463EFB">
        <w:rPr>
          <w:bCs/>
        </w:rPr>
        <w:t>model provide</w:t>
      </w:r>
      <w:r w:rsidR="00415CD7">
        <w:rPr>
          <w:bCs/>
        </w:rPr>
        <w:t>d</w:t>
      </w:r>
      <w:r w:rsidRPr="00463EFB">
        <w:rPr>
          <w:bCs/>
        </w:rPr>
        <w:t xml:space="preserve"> a good fit to the data (</w:t>
      </w:r>
      <w:r w:rsidR="00996C07">
        <w:rPr>
          <w:bCs/>
        </w:rPr>
        <w:fldChar w:fldCharType="begin"/>
      </w:r>
      <w:r w:rsidR="00996C07">
        <w:rPr>
          <w:bCs/>
        </w:rPr>
        <w:instrText xml:space="preserve"> REF _Ref199343208 \h </w:instrText>
      </w:r>
      <w:r w:rsidR="00996C07">
        <w:rPr>
          <w:bCs/>
        </w:rPr>
      </w:r>
      <w:r w:rsidR="00996C07">
        <w:rPr>
          <w:bCs/>
        </w:rPr>
        <w:fldChar w:fldCharType="separate"/>
      </w:r>
      <w:r w:rsidR="00BA1209">
        <w:t>Figure </w:t>
      </w:r>
      <w:r w:rsidR="00BA1209">
        <w:rPr>
          <w:noProof/>
        </w:rPr>
        <w:t>2</w:t>
      </w:r>
      <w:r w:rsidR="00996C07">
        <w:rPr>
          <w:bCs/>
        </w:rPr>
        <w:fldChar w:fldCharType="end"/>
      </w:r>
      <w:r w:rsidRPr="00463EFB">
        <w:rPr>
          <w:bCs/>
        </w:rPr>
        <w:t>).</w:t>
      </w:r>
    </w:p>
    <w:p w14:paraId="0373913E" w14:textId="266ABDAF" w:rsidR="008664CA" w:rsidRDefault="005F5977" w:rsidP="00A41D90">
      <w:pPr>
        <w:spacing w:after="40"/>
        <w:rPr>
          <w:rStyle w:val="CaptionChar"/>
        </w:rPr>
      </w:pPr>
      <w:bookmarkStart w:id="29" w:name="_Toc129074291"/>
      <w:r w:rsidRPr="005F5977">
        <w:rPr>
          <w:noProof/>
        </w:rPr>
        <w:lastRenderedPageBreak/>
        <w:drawing>
          <wp:inline distT="0" distB="0" distL="0" distR="0" wp14:anchorId="3DED28C1" wp14:editId="78D0D4B1">
            <wp:extent cx="3949672" cy="3589020"/>
            <wp:effectExtent l="0" t="0" r="0" b="3810"/>
            <wp:docPr id="931061896" name="Picture 1" descr="Figure is a species sensitivity distribution (SSD) that shows 24 species that are affected by concentrations of fipronil (microgram per litre). The species from Table 2 are plotted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61896" name="Picture 1" descr="Figure is a species sensitivity distribution (SSD) that shows 24 species that are affected by concentrations of fipronil (microgram per litre). The species from Table 2 are plotted here."/>
                    <pic:cNvPicPr/>
                  </pic:nvPicPr>
                  <pic:blipFill rotWithShape="1">
                    <a:blip r:embed="rId25"/>
                    <a:srcRect t="4470" r="4979" b="2751"/>
                    <a:stretch>
                      <a:fillRect/>
                    </a:stretch>
                  </pic:blipFill>
                  <pic:spPr bwMode="auto">
                    <a:xfrm>
                      <a:off x="0" y="0"/>
                      <a:ext cx="3949672" cy="3589020"/>
                    </a:xfrm>
                    <a:prstGeom prst="rect">
                      <a:avLst/>
                    </a:prstGeom>
                    <a:ln>
                      <a:noFill/>
                    </a:ln>
                    <a:extLst>
                      <a:ext uri="{53640926-AAD7-44D8-BBD7-CCE9431645EC}">
                        <a14:shadowObscured xmlns:a14="http://schemas.microsoft.com/office/drawing/2010/main"/>
                      </a:ext>
                    </a:extLst>
                  </pic:spPr>
                </pic:pic>
              </a:graphicData>
            </a:graphic>
          </wp:inline>
        </w:drawing>
      </w:r>
    </w:p>
    <w:p w14:paraId="0B620D61" w14:textId="0B9919CF" w:rsidR="00935637" w:rsidRPr="00E51A6B" w:rsidRDefault="00CB6B7A" w:rsidP="00FC092B">
      <w:pPr>
        <w:pStyle w:val="Caption"/>
        <w:keepNext w:val="0"/>
        <w:spacing w:after="0"/>
      </w:pPr>
      <w:bookmarkStart w:id="30" w:name="_Ref199343208"/>
      <w:bookmarkStart w:id="31" w:name="_Toc205549928"/>
      <w:r>
        <w:t>Figure </w:t>
      </w:r>
      <w:r w:rsidR="00D14480">
        <w:fldChar w:fldCharType="begin"/>
      </w:r>
      <w:r w:rsidR="00D14480">
        <w:instrText xml:space="preserve"> SEQ Figure \* ARABIC </w:instrText>
      </w:r>
      <w:r w:rsidR="00D14480">
        <w:fldChar w:fldCharType="separate"/>
      </w:r>
      <w:r w:rsidR="00BA1209">
        <w:rPr>
          <w:noProof/>
        </w:rPr>
        <w:t>2</w:t>
      </w:r>
      <w:r w:rsidR="00D14480">
        <w:rPr>
          <w:noProof/>
        </w:rPr>
        <w:fldChar w:fldCharType="end"/>
      </w:r>
      <w:bookmarkEnd w:id="30"/>
      <w:r w:rsidR="008C1D30" w:rsidRPr="00E51A6B">
        <w:t xml:space="preserve"> </w:t>
      </w:r>
      <w:r w:rsidR="00961EA3" w:rsidRPr="00E51A6B">
        <w:t>Species sensitivity distribution, fipronil in marine water</w:t>
      </w:r>
      <w:bookmarkEnd w:id="29"/>
      <w:bookmarkEnd w:id="31"/>
    </w:p>
    <w:p w14:paraId="3A03267B" w14:textId="77777777" w:rsidR="008F7426" w:rsidRPr="00E51A6B" w:rsidRDefault="008F7426" w:rsidP="00E51A6B">
      <w:pPr>
        <w:pStyle w:val="Heading3"/>
      </w:pPr>
      <w:bookmarkStart w:id="32" w:name="_Toc205549921"/>
      <w:r w:rsidRPr="00E51A6B">
        <w:t>Default guideline values</w:t>
      </w:r>
      <w:bookmarkEnd w:id="32"/>
    </w:p>
    <w:p w14:paraId="53BB7443" w14:textId="575CDCBA" w:rsidR="00961EA3" w:rsidRDefault="00961EA3" w:rsidP="00E51A6B">
      <w:bookmarkStart w:id="33" w:name="_Ref507163051"/>
      <w:r w:rsidRPr="00DA30C8">
        <w:t>It is important that the DGVs (</w:t>
      </w:r>
      <w:r w:rsidR="00996C07">
        <w:fldChar w:fldCharType="begin"/>
      </w:r>
      <w:r w:rsidR="00996C07">
        <w:instrText xml:space="preserve"> REF _Ref129766311 \h </w:instrText>
      </w:r>
      <w:r w:rsidR="00996C07">
        <w:fldChar w:fldCharType="separate"/>
      </w:r>
      <w:r w:rsidR="00BA1209">
        <w:t>Table </w:t>
      </w:r>
      <w:r w:rsidR="00BA1209">
        <w:rPr>
          <w:noProof/>
        </w:rPr>
        <w:t>3</w:t>
      </w:r>
      <w:r w:rsidR="00996C07">
        <w:fldChar w:fldCharType="end"/>
      </w:r>
      <w:r w:rsidRPr="00DA30C8">
        <w:t>) and associated information in this technical brief are used in accordance with the detailed guidance provided in the Australian and New Zealand Guidelines for Fresh and Marine Water Quality website</w:t>
      </w:r>
      <w:r w:rsidRPr="00EC1C5B">
        <w:rPr>
          <w:color w:val="000000" w:themeColor="text1"/>
        </w:rPr>
        <w:t xml:space="preserve"> (ANZG 2018). </w:t>
      </w:r>
    </w:p>
    <w:p w14:paraId="17097D0D" w14:textId="541D80B7" w:rsidR="00ED728C" w:rsidRPr="003C689F" w:rsidRDefault="008B1701" w:rsidP="00E51A6B">
      <w:r>
        <w:t>T</w:t>
      </w:r>
      <w:r w:rsidR="00ED728C">
        <w:t>he</w:t>
      </w:r>
      <w:r w:rsidR="00846DC1">
        <w:t xml:space="preserve"> DGVs</w:t>
      </w:r>
      <w:r w:rsidR="00ED728C">
        <w:t xml:space="preserve"> are expressed in terms of the concentration of the active ingredient</w:t>
      </w:r>
      <w:r w:rsidR="00846DC1">
        <w:t>; they</w:t>
      </w:r>
      <w:r w:rsidR="00846DC1">
        <w:rPr>
          <w:rFonts w:ascii="Calibri" w:eastAsia="Times New Roman" w:hAnsi="Calibri" w:cs="Times New Roman"/>
          <w:color w:val="000000" w:themeColor="text1"/>
          <w:lang w:eastAsia="en-GB"/>
        </w:rPr>
        <w:t xml:space="preserve"> </w:t>
      </w:r>
      <w:r w:rsidRPr="005F6F25">
        <w:rPr>
          <w:rFonts w:ascii="Calibri" w:eastAsia="Times New Roman" w:hAnsi="Calibri" w:cs="Times New Roman"/>
          <w:color w:val="000000" w:themeColor="text1"/>
          <w:lang w:eastAsia="en-GB"/>
        </w:rPr>
        <w:t xml:space="preserve">relate to </w:t>
      </w:r>
      <w:r w:rsidR="005242DD">
        <w:rPr>
          <w:rFonts w:ascii="Calibri" w:eastAsia="Times New Roman" w:hAnsi="Calibri" w:cs="Times New Roman"/>
          <w:color w:val="000000" w:themeColor="text1"/>
          <w:lang w:eastAsia="en-GB"/>
        </w:rPr>
        <w:t>fipronil</w:t>
      </w:r>
      <w:r w:rsidRPr="005F6F25">
        <w:rPr>
          <w:rFonts w:ascii="Calibri" w:eastAsia="Times New Roman" w:hAnsi="Calibri" w:cs="Times New Roman"/>
          <w:color w:val="000000" w:themeColor="text1"/>
          <w:lang w:eastAsia="en-GB"/>
        </w:rPr>
        <w:t xml:space="preserve"> only</w:t>
      </w:r>
      <w:r w:rsidR="00846DC1">
        <w:rPr>
          <w:rFonts w:ascii="Calibri" w:eastAsia="Times New Roman" w:hAnsi="Calibri" w:cs="Times New Roman"/>
          <w:color w:val="000000" w:themeColor="text1"/>
          <w:lang w:eastAsia="en-GB"/>
        </w:rPr>
        <w:t>—</w:t>
      </w:r>
      <w:r w:rsidRPr="005F6F25">
        <w:rPr>
          <w:rFonts w:ascii="Calibri" w:eastAsia="Times New Roman" w:hAnsi="Calibri" w:cs="Times New Roman"/>
          <w:color w:val="000000" w:themeColor="text1"/>
          <w:lang w:eastAsia="en-GB"/>
        </w:rPr>
        <w:t xml:space="preserve">not any of its breakdown products. </w:t>
      </w:r>
    </w:p>
    <w:p w14:paraId="620F290C" w14:textId="390F1C32" w:rsidR="00ED728C" w:rsidRDefault="00ED728C" w:rsidP="00E51A6B">
      <w:pPr>
        <w:rPr>
          <w:bCs/>
        </w:rPr>
      </w:pPr>
      <w:r w:rsidRPr="00ED728C">
        <w:rPr>
          <w:bCs/>
        </w:rPr>
        <w:t>Measured log</w:t>
      </w:r>
      <w:r w:rsidR="00846DC1">
        <w:rPr>
          <w:bCs/>
        </w:rPr>
        <w:t> </w:t>
      </w:r>
      <w:r w:rsidRPr="00ED728C">
        <w:rPr>
          <w:bCs/>
        </w:rPr>
        <w:t>BCF values for fipronil are low (</w:t>
      </w:r>
      <w:r w:rsidR="00996C07">
        <w:rPr>
          <w:bCs/>
        </w:rPr>
        <w:fldChar w:fldCharType="begin"/>
      </w:r>
      <w:r w:rsidR="00996C07">
        <w:rPr>
          <w:bCs/>
        </w:rPr>
        <w:instrText xml:space="preserve"> REF _Ref129766344 \h </w:instrText>
      </w:r>
      <w:r w:rsidR="00996C07">
        <w:rPr>
          <w:bCs/>
        </w:rPr>
      </w:r>
      <w:r w:rsidR="00996C07">
        <w:rPr>
          <w:bCs/>
        </w:rPr>
        <w:fldChar w:fldCharType="separate"/>
      </w:r>
      <w:r w:rsidR="00BA1209">
        <w:t>Table </w:t>
      </w:r>
      <w:r w:rsidR="00BA1209">
        <w:rPr>
          <w:noProof/>
        </w:rPr>
        <w:t>1</w:t>
      </w:r>
      <w:r w:rsidR="00996C07">
        <w:rPr>
          <w:bCs/>
        </w:rPr>
        <w:fldChar w:fldCharType="end"/>
      </w:r>
      <w:r w:rsidRPr="00ED728C">
        <w:rPr>
          <w:bCs/>
        </w:rPr>
        <w:t>) and below the threshold at which secondary poisoning must be considered (i.e. threshold log</w:t>
      </w:r>
      <w:r w:rsidR="00687635">
        <w:rPr>
          <w:bCs/>
        </w:rPr>
        <w:t> </w:t>
      </w:r>
      <w:r w:rsidRPr="00ED728C">
        <w:rPr>
          <w:bCs/>
        </w:rPr>
        <w:t>BCF</w:t>
      </w:r>
      <w:r w:rsidR="00687635">
        <w:rPr>
          <w:bCs/>
        </w:rPr>
        <w:t> </w:t>
      </w:r>
      <w:r w:rsidRPr="00ED728C">
        <w:rPr>
          <w:bCs/>
        </w:rPr>
        <w:t>=</w:t>
      </w:r>
      <w:r w:rsidR="00687635">
        <w:rPr>
          <w:bCs/>
        </w:rPr>
        <w:t> </w:t>
      </w:r>
      <w:r w:rsidRPr="00ED728C">
        <w:rPr>
          <w:bCs/>
        </w:rPr>
        <w:t xml:space="preserve">4 </w:t>
      </w:r>
      <w:r w:rsidR="00687635">
        <w:rPr>
          <w:bCs/>
        </w:rPr>
        <w:t>(</w:t>
      </w:r>
      <w:r w:rsidRPr="00ED728C">
        <w:rPr>
          <w:bCs/>
        </w:rPr>
        <w:t>Warne et al. 2018</w:t>
      </w:r>
      <w:r w:rsidR="00687635">
        <w:rPr>
          <w:bCs/>
        </w:rPr>
        <w:t>)</w:t>
      </w:r>
      <w:r w:rsidRPr="00ED728C">
        <w:rPr>
          <w:bCs/>
        </w:rPr>
        <w:t>). Therefore, the DGVs for fipronil do not account for secondary poisoning.</w:t>
      </w:r>
    </w:p>
    <w:p w14:paraId="5C743718" w14:textId="5FAA7811" w:rsidR="00721666" w:rsidRPr="00ED728C" w:rsidRDefault="00721666" w:rsidP="00E51A6B">
      <w:pPr>
        <w:rPr>
          <w:bCs/>
        </w:rPr>
      </w:pPr>
      <w:r>
        <w:t xml:space="preserve">The DGVs for fipronil in marine water are provided in </w:t>
      </w:r>
      <w:r>
        <w:fldChar w:fldCharType="begin"/>
      </w:r>
      <w:r>
        <w:instrText xml:space="preserve"> REF _Ref129766311 \h </w:instrText>
      </w:r>
      <w:r>
        <w:fldChar w:fldCharType="separate"/>
      </w:r>
      <w:r w:rsidR="00BA1209">
        <w:t>Table </w:t>
      </w:r>
      <w:r w:rsidR="00BA1209">
        <w:rPr>
          <w:noProof/>
        </w:rPr>
        <w:t>3</w:t>
      </w:r>
      <w:r>
        <w:fldChar w:fldCharType="end"/>
      </w:r>
      <w:r>
        <w:t>.</w:t>
      </w:r>
      <w:r w:rsidRPr="00721666">
        <w:rPr>
          <w:rFonts w:ascii="Calibri" w:eastAsia="Times New Roman" w:hAnsi="Calibri" w:cs="Times New Roman"/>
          <w:color w:val="000000" w:themeColor="text1"/>
          <w:lang w:eastAsia="en-GB"/>
        </w:rPr>
        <w:t xml:space="preserve"> </w:t>
      </w:r>
      <w:r w:rsidRPr="005F6F25">
        <w:rPr>
          <w:rFonts w:ascii="Calibri" w:eastAsia="Times New Roman" w:hAnsi="Calibri" w:cs="Times New Roman"/>
          <w:color w:val="000000" w:themeColor="text1"/>
          <w:lang w:eastAsia="en-GB"/>
        </w:rPr>
        <w:t>The 95% species protection DGV of 0.</w:t>
      </w:r>
      <w:r>
        <w:rPr>
          <w:rFonts w:ascii="Calibri" w:eastAsia="Times New Roman" w:hAnsi="Calibri" w:cs="Times New Roman"/>
          <w:color w:val="000000" w:themeColor="text1"/>
          <w:lang w:eastAsia="en-GB"/>
        </w:rPr>
        <w:t>01</w:t>
      </w:r>
      <w:r w:rsidRPr="005F6F25">
        <w:rPr>
          <w:rFonts w:ascii="Calibri" w:eastAsia="Times New Roman" w:hAnsi="Calibri" w:cs="Times New Roman"/>
          <w:color w:val="000000" w:themeColor="text1"/>
          <w:lang w:eastAsia="en-GB"/>
        </w:rPr>
        <w:t> </w:t>
      </w:r>
      <w:r w:rsidRPr="005F6F25">
        <w:rPr>
          <w:rFonts w:ascii="Calibri" w:eastAsia="Times New Roman" w:hAnsi="Calibri" w:cs="Calibri"/>
          <w:color w:val="000000" w:themeColor="text1"/>
          <w:lang w:eastAsia="en-GB"/>
        </w:rPr>
        <w:t>µ</w:t>
      </w:r>
      <w:r w:rsidRPr="005F6F25">
        <w:rPr>
          <w:rFonts w:ascii="Calibri" w:eastAsia="Times New Roman" w:hAnsi="Calibri" w:cs="Times New Roman"/>
          <w:color w:val="000000" w:themeColor="text1"/>
          <w:lang w:eastAsia="en-GB"/>
        </w:rPr>
        <w:t>g/L is recommended for application to slightly-to-moderately disturbed ecosystems</w:t>
      </w:r>
      <w:r>
        <w:rPr>
          <w:rFonts w:ascii="Calibri" w:eastAsia="Times New Roman" w:hAnsi="Calibri" w:cs="Times New Roman"/>
          <w:color w:val="000000" w:themeColor="text1"/>
          <w:lang w:eastAsia="en-GB"/>
        </w:rPr>
        <w:t>.</w:t>
      </w:r>
      <w:r w:rsidR="000F7776">
        <w:rPr>
          <w:rFonts w:ascii="Calibri" w:eastAsia="Times New Roman" w:hAnsi="Calibri" w:cs="Times New Roman"/>
          <w:color w:val="000000" w:themeColor="text1"/>
          <w:lang w:eastAsia="en-GB"/>
        </w:rPr>
        <w:t xml:space="preserve"> </w:t>
      </w:r>
      <w:r w:rsidR="000F7776">
        <w:t>T</w:t>
      </w:r>
      <w:r w:rsidR="000F7776" w:rsidRPr="00ED728C">
        <w:t>o derive higher reliability DGVs, additional chronic toxicity tests of fipronil with marine arthropod</w:t>
      </w:r>
      <w:r w:rsidR="000F7776">
        <w:t>s should</w:t>
      </w:r>
      <w:r w:rsidR="000F7776" w:rsidRPr="00ED728C">
        <w:t xml:space="preserve"> be conducted</w:t>
      </w:r>
      <w:r w:rsidR="00794945">
        <w:t>.</w:t>
      </w:r>
    </w:p>
    <w:p w14:paraId="688D6EE0" w14:textId="1F9C6828" w:rsidR="0008065D" w:rsidRPr="00E51A6B" w:rsidRDefault="00CB6B7A" w:rsidP="002E249E">
      <w:pPr>
        <w:pStyle w:val="Caption"/>
        <w:keepLines/>
      </w:pPr>
      <w:bookmarkStart w:id="34" w:name="_Ref129766311"/>
      <w:bookmarkStart w:id="35" w:name="_Toc205549931"/>
      <w:bookmarkEnd w:id="33"/>
      <w:r>
        <w:lastRenderedPageBreak/>
        <w:t>Table </w:t>
      </w:r>
      <w:r w:rsidR="00D14480">
        <w:fldChar w:fldCharType="begin"/>
      </w:r>
      <w:r w:rsidR="00D14480">
        <w:instrText xml:space="preserve"> SEQ Table \* ARABIC </w:instrText>
      </w:r>
      <w:r w:rsidR="00D14480">
        <w:fldChar w:fldCharType="separate"/>
      </w:r>
      <w:r w:rsidR="00BA1209">
        <w:rPr>
          <w:noProof/>
        </w:rPr>
        <w:t>3</w:t>
      </w:r>
      <w:r w:rsidR="00D14480">
        <w:rPr>
          <w:noProof/>
        </w:rPr>
        <w:fldChar w:fldCharType="end"/>
      </w:r>
      <w:bookmarkEnd w:id="34"/>
      <w:r w:rsidR="00EE5217" w:rsidRPr="00E51A6B">
        <w:t xml:space="preserve"> Default guideline values</w:t>
      </w:r>
      <w:r w:rsidR="00D55D32">
        <w:t>,</w:t>
      </w:r>
      <w:r w:rsidR="00EE5217" w:rsidRPr="00E51A6B">
        <w:t xml:space="preserve"> </w:t>
      </w:r>
      <w:r w:rsidR="00CC3090" w:rsidRPr="00E51A6B">
        <w:t>fipronil</w:t>
      </w:r>
      <w:r w:rsidR="00EE5217" w:rsidRPr="00E51A6B">
        <w:t xml:space="preserve"> </w:t>
      </w:r>
      <w:r w:rsidR="00D55D32">
        <w:t xml:space="preserve">in </w:t>
      </w:r>
      <w:r w:rsidR="00CC3090" w:rsidRPr="00E51A6B">
        <w:t>marine</w:t>
      </w:r>
      <w:r w:rsidR="00EE5217" w:rsidRPr="00E51A6B">
        <w:t xml:space="preserve"> </w:t>
      </w:r>
      <w:r w:rsidR="00D55D32">
        <w:t xml:space="preserve">water, </w:t>
      </w:r>
      <w:r w:rsidR="0005548B" w:rsidRPr="00E51A6B">
        <w:t>moderate reliability</w:t>
      </w:r>
      <w:bookmarkEnd w:id="35"/>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Caption w:val="Default guideline values, fipronil in marine water, moderate reliability"/>
        <w:tblDescription w:val="Table shows the DGVs for a range of protection levels for fipronil in marine water. The levels of species protection are 99%, 95%, 90% and 80%. The corresponding default guideline values are 0.003, 0.01, 0.02 and 0.04 (microgram per litre), respectively."/>
      </w:tblPr>
      <w:tblGrid>
        <w:gridCol w:w="4535"/>
        <w:gridCol w:w="4536"/>
      </w:tblGrid>
      <w:tr w:rsidR="0008065D" w:rsidRPr="00694C34" w14:paraId="3163CB13" w14:textId="77777777" w:rsidTr="00E51A6B">
        <w:trPr>
          <w:cantSplit/>
          <w:tblHeader/>
        </w:trPr>
        <w:tc>
          <w:tcPr>
            <w:tcW w:w="2500" w:type="pct"/>
            <w:tcBorders>
              <w:top w:val="single" w:sz="12" w:space="0" w:color="auto"/>
              <w:bottom w:val="single" w:sz="12" w:space="0" w:color="auto"/>
            </w:tcBorders>
          </w:tcPr>
          <w:p w14:paraId="14E382C9" w14:textId="77777777" w:rsidR="0008065D" w:rsidRPr="008C1D30" w:rsidRDefault="0008065D" w:rsidP="002E249E">
            <w:pPr>
              <w:pStyle w:val="TableHeading"/>
              <w:keepLines/>
            </w:pPr>
            <w:bookmarkStart w:id="36" w:name="_Hlk117954410"/>
            <w:r w:rsidRPr="008C1D30">
              <w:t>Level of species protection (%)</w:t>
            </w:r>
          </w:p>
        </w:tc>
        <w:tc>
          <w:tcPr>
            <w:tcW w:w="2500" w:type="pct"/>
            <w:tcBorders>
              <w:top w:val="single" w:sz="12" w:space="0" w:color="auto"/>
              <w:bottom w:val="single" w:sz="12" w:space="0" w:color="auto"/>
            </w:tcBorders>
          </w:tcPr>
          <w:p w14:paraId="771D12B6" w14:textId="111BDD0D" w:rsidR="0008065D" w:rsidRPr="008C1D30" w:rsidRDefault="0008065D" w:rsidP="002E249E">
            <w:pPr>
              <w:pStyle w:val="TableHeading"/>
              <w:keepLines/>
            </w:pPr>
            <w:r w:rsidRPr="008C1D30">
              <w:t xml:space="preserve">DGV for </w:t>
            </w:r>
            <w:r w:rsidR="00CC3090">
              <w:t>fipronil</w:t>
            </w:r>
            <w:r w:rsidRPr="008C1D30">
              <w:t xml:space="preserve"> in marine water (</w:t>
            </w:r>
            <w:r w:rsidR="008D5FE1" w:rsidRPr="008D5FE1">
              <w:t>µ</w:t>
            </w:r>
            <w:r w:rsidRPr="008C1D30">
              <w:t>g/L)</w:t>
            </w:r>
            <w:r w:rsidR="00E51A6B">
              <w:t xml:space="preserve"> </w:t>
            </w:r>
            <w:r w:rsidRPr="00E51A6B">
              <w:rPr>
                <w:rStyle w:val="Strong"/>
                <w:vertAlign w:val="superscript"/>
              </w:rPr>
              <w:t>a</w:t>
            </w:r>
          </w:p>
        </w:tc>
      </w:tr>
      <w:tr w:rsidR="00ED728C" w:rsidRPr="00694C34" w14:paraId="5ADED8E6" w14:textId="77777777" w:rsidTr="00E51A6B">
        <w:trPr>
          <w:cantSplit/>
        </w:trPr>
        <w:tc>
          <w:tcPr>
            <w:tcW w:w="2500" w:type="pct"/>
            <w:tcBorders>
              <w:top w:val="single" w:sz="12" w:space="0" w:color="auto"/>
            </w:tcBorders>
          </w:tcPr>
          <w:p w14:paraId="5C727496" w14:textId="7A38ADC3" w:rsidR="00ED728C" w:rsidRPr="008C1D30" w:rsidRDefault="00ED728C" w:rsidP="002E249E">
            <w:pPr>
              <w:pStyle w:val="TableText"/>
              <w:keepNext/>
              <w:keepLines/>
            </w:pPr>
            <w:r w:rsidRPr="008C1D30">
              <w:rPr>
                <w:rFonts w:eastAsia="Calibri"/>
                <w:color w:val="000000"/>
              </w:rPr>
              <w:t>99</w:t>
            </w:r>
          </w:p>
        </w:tc>
        <w:tc>
          <w:tcPr>
            <w:tcW w:w="2500" w:type="pct"/>
            <w:tcBorders>
              <w:top w:val="single" w:sz="12" w:space="0" w:color="auto"/>
            </w:tcBorders>
          </w:tcPr>
          <w:p w14:paraId="2DEF92C8" w14:textId="1B93C0E8" w:rsidR="00ED728C" w:rsidRPr="00B73F30" w:rsidRDefault="00B73F30" w:rsidP="002E249E">
            <w:pPr>
              <w:pStyle w:val="TableText"/>
              <w:keepNext/>
              <w:keepLines/>
            </w:pPr>
            <w:r w:rsidRPr="00B73F30">
              <w:rPr>
                <w:rFonts w:eastAsia="Calibri"/>
                <w:color w:val="000000"/>
              </w:rPr>
              <w:t>0.</w:t>
            </w:r>
            <w:r w:rsidR="00407FA9" w:rsidRPr="00B73F30">
              <w:rPr>
                <w:rFonts w:eastAsia="Calibri"/>
                <w:color w:val="000000"/>
              </w:rPr>
              <w:t>00</w:t>
            </w:r>
            <w:r w:rsidR="00407FA9">
              <w:rPr>
                <w:rFonts w:eastAsia="Calibri"/>
                <w:color w:val="000000"/>
              </w:rPr>
              <w:t>3</w:t>
            </w:r>
          </w:p>
        </w:tc>
      </w:tr>
      <w:tr w:rsidR="00ED728C" w:rsidRPr="00694C34" w14:paraId="4B28B859" w14:textId="77777777" w:rsidTr="00E51A6B">
        <w:trPr>
          <w:cantSplit/>
        </w:trPr>
        <w:tc>
          <w:tcPr>
            <w:tcW w:w="2500" w:type="pct"/>
          </w:tcPr>
          <w:p w14:paraId="3233CC04" w14:textId="7C7187B8" w:rsidR="00ED728C" w:rsidRPr="008C1D30" w:rsidRDefault="00ED728C" w:rsidP="002E249E">
            <w:pPr>
              <w:pStyle w:val="TableText"/>
              <w:keepNext/>
              <w:keepLines/>
            </w:pPr>
            <w:r w:rsidRPr="008C1D30">
              <w:rPr>
                <w:rFonts w:eastAsia="Calibri"/>
                <w:color w:val="000000"/>
              </w:rPr>
              <w:t>95</w:t>
            </w:r>
          </w:p>
        </w:tc>
        <w:tc>
          <w:tcPr>
            <w:tcW w:w="2500" w:type="pct"/>
          </w:tcPr>
          <w:p w14:paraId="082694D7" w14:textId="4302E963" w:rsidR="00ED728C" w:rsidRPr="00B73F30" w:rsidRDefault="00ED728C" w:rsidP="002E249E">
            <w:pPr>
              <w:pStyle w:val="TableText"/>
              <w:keepNext/>
              <w:keepLines/>
            </w:pPr>
            <w:r w:rsidRPr="00B73F30">
              <w:rPr>
                <w:rFonts w:eastAsia="Calibri"/>
                <w:color w:val="000000"/>
              </w:rPr>
              <w:t>0.0</w:t>
            </w:r>
            <w:r w:rsidR="00743ACD">
              <w:rPr>
                <w:rFonts w:eastAsia="Calibri"/>
                <w:color w:val="000000"/>
              </w:rPr>
              <w:t>1</w:t>
            </w:r>
          </w:p>
        </w:tc>
      </w:tr>
      <w:tr w:rsidR="00ED728C" w:rsidRPr="00694C34" w14:paraId="4CD4B962" w14:textId="77777777" w:rsidTr="00E51A6B">
        <w:trPr>
          <w:cantSplit/>
        </w:trPr>
        <w:tc>
          <w:tcPr>
            <w:tcW w:w="2500" w:type="pct"/>
            <w:tcBorders>
              <w:bottom w:val="single" w:sz="4" w:space="0" w:color="auto"/>
            </w:tcBorders>
          </w:tcPr>
          <w:p w14:paraId="743509AB" w14:textId="386C1068" w:rsidR="00ED728C" w:rsidRPr="008C1D30" w:rsidRDefault="00ED728C" w:rsidP="002E249E">
            <w:pPr>
              <w:pStyle w:val="TableText"/>
              <w:keepNext/>
              <w:keepLines/>
            </w:pPr>
            <w:r w:rsidRPr="008C1D30">
              <w:rPr>
                <w:rFonts w:eastAsia="Calibri"/>
                <w:color w:val="000000"/>
              </w:rPr>
              <w:t>90</w:t>
            </w:r>
          </w:p>
        </w:tc>
        <w:tc>
          <w:tcPr>
            <w:tcW w:w="2500" w:type="pct"/>
            <w:tcBorders>
              <w:bottom w:val="single" w:sz="4" w:space="0" w:color="auto"/>
            </w:tcBorders>
          </w:tcPr>
          <w:p w14:paraId="31C0CF12" w14:textId="2C66E351" w:rsidR="00ED728C" w:rsidRPr="00B73F30" w:rsidRDefault="00ED728C" w:rsidP="002E249E">
            <w:pPr>
              <w:pStyle w:val="TableText"/>
              <w:keepNext/>
              <w:keepLines/>
            </w:pPr>
            <w:r w:rsidRPr="00B73F30">
              <w:rPr>
                <w:rFonts w:eastAsia="Calibri"/>
                <w:color w:val="000000"/>
              </w:rPr>
              <w:t>0.0</w:t>
            </w:r>
            <w:r w:rsidR="00743ACD">
              <w:rPr>
                <w:rFonts w:eastAsia="Calibri"/>
                <w:color w:val="000000"/>
              </w:rPr>
              <w:t>2</w:t>
            </w:r>
          </w:p>
        </w:tc>
      </w:tr>
      <w:tr w:rsidR="00ED728C" w:rsidRPr="00694C34" w14:paraId="4CF2B046" w14:textId="77777777" w:rsidTr="00E51A6B">
        <w:trPr>
          <w:cantSplit/>
        </w:trPr>
        <w:tc>
          <w:tcPr>
            <w:tcW w:w="2500" w:type="pct"/>
            <w:tcBorders>
              <w:bottom w:val="single" w:sz="12" w:space="0" w:color="auto"/>
            </w:tcBorders>
          </w:tcPr>
          <w:p w14:paraId="17D8C842" w14:textId="6B467EB3" w:rsidR="00ED728C" w:rsidRPr="008C1D30" w:rsidRDefault="00ED728C" w:rsidP="002E249E">
            <w:pPr>
              <w:pStyle w:val="TableText"/>
              <w:keepNext/>
              <w:keepLines/>
            </w:pPr>
            <w:r w:rsidRPr="008C1D30">
              <w:rPr>
                <w:rFonts w:eastAsia="Calibri"/>
                <w:color w:val="000000"/>
              </w:rPr>
              <w:t>80</w:t>
            </w:r>
          </w:p>
        </w:tc>
        <w:tc>
          <w:tcPr>
            <w:tcW w:w="2500" w:type="pct"/>
            <w:tcBorders>
              <w:bottom w:val="single" w:sz="12" w:space="0" w:color="auto"/>
            </w:tcBorders>
          </w:tcPr>
          <w:p w14:paraId="728755C7" w14:textId="558BBABC" w:rsidR="00ED728C" w:rsidRPr="00B73F30" w:rsidRDefault="00ED728C" w:rsidP="002E249E">
            <w:pPr>
              <w:pStyle w:val="TableText"/>
              <w:keepNext/>
              <w:keepLines/>
            </w:pPr>
            <w:r w:rsidRPr="00B73F30">
              <w:rPr>
                <w:rFonts w:eastAsia="Calibri"/>
                <w:color w:val="000000"/>
              </w:rPr>
              <w:t>0.0</w:t>
            </w:r>
            <w:r w:rsidR="00743ACD">
              <w:rPr>
                <w:rFonts w:eastAsia="Calibri"/>
                <w:color w:val="000000"/>
              </w:rPr>
              <w:t>4</w:t>
            </w:r>
          </w:p>
        </w:tc>
      </w:tr>
    </w:tbl>
    <w:p w14:paraId="679493FF" w14:textId="721DF76B" w:rsidR="008F7426" w:rsidRPr="00E51A6B" w:rsidRDefault="00F60B96" w:rsidP="002E249E">
      <w:pPr>
        <w:pStyle w:val="FigureTableNoteSource"/>
        <w:keepNext/>
        <w:keepLines/>
      </w:pPr>
      <w:bookmarkStart w:id="37" w:name="_Hlk117954533"/>
      <w:bookmarkEnd w:id="36"/>
      <w:r w:rsidRPr="00E51A6B">
        <w:rPr>
          <w:rStyle w:val="Strong"/>
        </w:rPr>
        <w:t>a</w:t>
      </w:r>
      <w:r w:rsidRPr="00E51A6B">
        <w:t xml:space="preserve"> </w:t>
      </w:r>
      <w:r w:rsidR="0008065D" w:rsidRPr="00E51A6B">
        <w:t>D</w:t>
      </w:r>
      <w:r w:rsidR="003B0317">
        <w:t>GVs</w:t>
      </w:r>
      <w:r w:rsidR="0008065D" w:rsidRPr="00E51A6B">
        <w:t xml:space="preserve"> were derived using the</w:t>
      </w:r>
      <w:r w:rsidR="008D5FE1" w:rsidRPr="00E51A6B">
        <w:t xml:space="preserve"> Burrlioz 2.0 software</w:t>
      </w:r>
      <w:r w:rsidR="00297B5C" w:rsidRPr="00E51A6B">
        <w:t xml:space="preserve"> and rounded to </w:t>
      </w:r>
      <w:r w:rsidR="00407FA9" w:rsidRPr="00E51A6B">
        <w:t xml:space="preserve">one </w:t>
      </w:r>
      <w:r w:rsidR="00297B5C" w:rsidRPr="00E51A6B">
        <w:t>significant figure</w:t>
      </w:r>
      <w:r w:rsidR="008D5FE1" w:rsidRPr="00E51A6B">
        <w:t>.</w:t>
      </w:r>
    </w:p>
    <w:p w14:paraId="49FE984B" w14:textId="77777777" w:rsidR="008F7426" w:rsidRPr="00E51A6B" w:rsidRDefault="008F7426" w:rsidP="00E51A6B">
      <w:pPr>
        <w:pStyle w:val="Heading3"/>
      </w:pPr>
      <w:bookmarkStart w:id="38" w:name="_Toc46327094"/>
      <w:bookmarkStart w:id="39" w:name="_Toc205549922"/>
      <w:bookmarkEnd w:id="37"/>
      <w:r w:rsidRPr="00E51A6B">
        <w:t>Reliability classification</w:t>
      </w:r>
      <w:bookmarkEnd w:id="38"/>
      <w:bookmarkEnd w:id="39"/>
    </w:p>
    <w:p w14:paraId="543CDAD6" w14:textId="78B0E463" w:rsidR="00ED728C" w:rsidRPr="00935637" w:rsidRDefault="00ED728C" w:rsidP="00E51A6B">
      <w:r w:rsidRPr="00935637">
        <w:t xml:space="preserve">The fipronil marine </w:t>
      </w:r>
      <w:r w:rsidR="0005548B">
        <w:t xml:space="preserve">water </w:t>
      </w:r>
      <w:r w:rsidRPr="00935637">
        <w:t>DGVs have a moderate reliability classification (Warne et al. 2018) based on the outcomes for the following three criteria:</w:t>
      </w:r>
    </w:p>
    <w:p w14:paraId="3DA419FC" w14:textId="53037EC7" w:rsidR="00ED728C" w:rsidRPr="00E51A6B" w:rsidRDefault="007F1A06" w:rsidP="00E51A6B">
      <w:pPr>
        <w:pStyle w:val="ListBullet"/>
      </w:pPr>
      <w:r w:rsidRPr="00E51A6B">
        <w:t xml:space="preserve">sample </w:t>
      </w:r>
      <w:r w:rsidR="00ED728C" w:rsidRPr="00E51A6B">
        <w:t>size</w:t>
      </w:r>
      <w:r>
        <w:t>—</w:t>
      </w:r>
      <w:r w:rsidR="00ED728C" w:rsidRPr="00E51A6B">
        <w:t xml:space="preserve">24 (preferred) </w:t>
      </w:r>
    </w:p>
    <w:p w14:paraId="5B85B502" w14:textId="504AC7B6" w:rsidR="00ED728C" w:rsidRPr="00E51A6B" w:rsidRDefault="007F1A06" w:rsidP="00E51A6B">
      <w:pPr>
        <w:pStyle w:val="ListBullet"/>
      </w:pPr>
      <w:r w:rsidRPr="00E51A6B">
        <w:t xml:space="preserve">type </w:t>
      </w:r>
      <w:r w:rsidR="00ED728C" w:rsidRPr="00E51A6B">
        <w:t>of toxicity data</w:t>
      </w:r>
      <w:r>
        <w:t>—</w:t>
      </w:r>
      <w:r w:rsidR="00ED728C" w:rsidRPr="00E51A6B">
        <w:t xml:space="preserve">chronic and acute </w:t>
      </w:r>
      <w:r w:rsidR="00811794" w:rsidRPr="00E51A6B">
        <w:t xml:space="preserve">estuarine, </w:t>
      </w:r>
      <w:r w:rsidR="00ED728C" w:rsidRPr="00E51A6B">
        <w:t>freshwater and marine data</w:t>
      </w:r>
    </w:p>
    <w:p w14:paraId="00FE2DC8" w14:textId="12293C2D" w:rsidR="00ED728C" w:rsidRPr="00E51A6B" w:rsidRDefault="00ED728C" w:rsidP="00E51A6B">
      <w:pPr>
        <w:pStyle w:val="ListBullet"/>
      </w:pPr>
      <w:r w:rsidRPr="00E51A6B">
        <w:t>SSD model fit</w:t>
      </w:r>
      <w:r w:rsidR="007F1A06">
        <w:t>—</w:t>
      </w:r>
      <w:r w:rsidRPr="00E51A6B">
        <w:t>good (Burr type III).</w:t>
      </w:r>
    </w:p>
    <w:p w14:paraId="382C4379" w14:textId="17D6E164" w:rsidR="00C27385" w:rsidRPr="00481B62" w:rsidRDefault="008F7426" w:rsidP="00320DA1">
      <w:r>
        <w:rPr>
          <w:rFonts w:ascii="Myriad Pro" w:hAnsi="Myriad Pro" w:cstheme="minorHAnsi"/>
          <w:b/>
          <w:sz w:val="18"/>
          <w:szCs w:val="18"/>
        </w:rPr>
        <w:br w:type="page"/>
      </w:r>
      <w:hyperlink w:history="1"/>
    </w:p>
    <w:p w14:paraId="163573D5" w14:textId="3F2C46E0" w:rsidR="008F7426" w:rsidRPr="00FF3A8E" w:rsidRDefault="008F7426" w:rsidP="00E8209D">
      <w:pPr>
        <w:pStyle w:val="Heading2"/>
        <w:numPr>
          <w:ilvl w:val="0"/>
          <w:numId w:val="0"/>
        </w:numPr>
        <w:ind w:left="680" w:hanging="680"/>
      </w:pPr>
      <w:bookmarkStart w:id="40" w:name="_Toc205549923"/>
      <w:r w:rsidRPr="00EF79CB">
        <w:lastRenderedPageBreak/>
        <w:t>Glossary</w:t>
      </w:r>
      <w:bookmarkEnd w:id="40"/>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7086"/>
      </w:tblGrid>
      <w:tr w:rsidR="00E51A6B" w:rsidRPr="00811E15" w14:paraId="01F09133" w14:textId="77777777" w:rsidTr="005A714E">
        <w:trPr>
          <w:cantSplit/>
          <w:tblHeader/>
        </w:trPr>
        <w:tc>
          <w:tcPr>
            <w:tcW w:w="1094" w:type="pct"/>
            <w:tcBorders>
              <w:top w:val="single" w:sz="12" w:space="0" w:color="auto"/>
              <w:bottom w:val="single" w:sz="12" w:space="0" w:color="auto"/>
            </w:tcBorders>
          </w:tcPr>
          <w:p w14:paraId="2AC687D6" w14:textId="77777777" w:rsidR="00E51A6B" w:rsidRPr="00B87D8B" w:rsidRDefault="00E51A6B" w:rsidP="00E93F2B">
            <w:pPr>
              <w:pStyle w:val="TableHeading"/>
              <w:rPr>
                <w:lang w:eastAsia="ja-JP"/>
              </w:rPr>
            </w:pPr>
            <w:r w:rsidRPr="00B87D8B">
              <w:rPr>
                <w:lang w:eastAsia="ja-JP"/>
              </w:rPr>
              <w:t>Term</w:t>
            </w:r>
          </w:p>
        </w:tc>
        <w:tc>
          <w:tcPr>
            <w:tcW w:w="3906" w:type="pct"/>
            <w:tcBorders>
              <w:top w:val="single" w:sz="12" w:space="0" w:color="auto"/>
              <w:bottom w:val="single" w:sz="12" w:space="0" w:color="auto"/>
            </w:tcBorders>
          </w:tcPr>
          <w:p w14:paraId="1D55DC49" w14:textId="77777777" w:rsidR="00E51A6B" w:rsidRPr="00B87D8B" w:rsidRDefault="00E51A6B" w:rsidP="00E93F2B">
            <w:pPr>
              <w:pStyle w:val="TableHeading"/>
              <w:rPr>
                <w:lang w:eastAsia="ja-JP"/>
              </w:rPr>
            </w:pPr>
            <w:r w:rsidRPr="00B87D8B">
              <w:rPr>
                <w:lang w:eastAsia="ja-JP"/>
              </w:rPr>
              <w:t>Definition</w:t>
            </w:r>
          </w:p>
        </w:tc>
      </w:tr>
      <w:tr w:rsidR="00D14480" w:rsidRPr="00FF3A8E" w14:paraId="7D71709D" w14:textId="77777777" w:rsidTr="005A714E">
        <w:tblPrEx>
          <w:tblLook w:val="01E0" w:firstRow="1" w:lastRow="1" w:firstColumn="1" w:lastColumn="1" w:noHBand="0" w:noVBand="0"/>
        </w:tblPrEx>
        <w:trPr>
          <w:cantSplit/>
        </w:trPr>
        <w:tc>
          <w:tcPr>
            <w:tcW w:w="1094" w:type="pct"/>
            <w:vAlign w:val="center"/>
            <w:hideMark/>
          </w:tcPr>
          <w:p w14:paraId="6A4AC0EA" w14:textId="77777777" w:rsidR="00D14480" w:rsidRPr="00FF3A8E" w:rsidRDefault="00D14480" w:rsidP="00874F42">
            <w:pPr>
              <w:pStyle w:val="TableText"/>
            </w:pPr>
            <w:r w:rsidRPr="00FF3A8E">
              <w:t>acute toxicity</w:t>
            </w:r>
          </w:p>
        </w:tc>
        <w:tc>
          <w:tcPr>
            <w:tcW w:w="3906" w:type="pct"/>
            <w:hideMark/>
          </w:tcPr>
          <w:p w14:paraId="50D7AF6B" w14:textId="77777777" w:rsidR="00D14480" w:rsidRPr="00FF3A8E" w:rsidRDefault="00D14480" w:rsidP="001379F0">
            <w:pPr>
              <w:pStyle w:val="TableText"/>
            </w:pPr>
            <w:r>
              <w:t>A</w:t>
            </w:r>
            <w:r w:rsidRPr="00941A5A">
              <w:t xml:space="preserve"> lethal or adverse sub-lethal effect that occurs as the result of a short exposure period to a chemical relative to the organism’s life span.</w:t>
            </w:r>
          </w:p>
        </w:tc>
      </w:tr>
      <w:tr w:rsidR="00D14480" w:rsidRPr="00FF3A8E" w14:paraId="1A1D2A1C" w14:textId="77777777" w:rsidTr="005A714E">
        <w:tblPrEx>
          <w:tblLook w:val="01E0" w:firstRow="1" w:lastRow="1" w:firstColumn="1" w:lastColumn="1" w:noHBand="0" w:noVBand="0"/>
        </w:tblPrEx>
        <w:trPr>
          <w:cantSplit/>
        </w:trPr>
        <w:tc>
          <w:tcPr>
            <w:tcW w:w="1094" w:type="pct"/>
            <w:vAlign w:val="center"/>
          </w:tcPr>
          <w:p w14:paraId="03FA2196" w14:textId="77777777" w:rsidR="00D14480" w:rsidRPr="00FF3A8E" w:rsidRDefault="00D14480" w:rsidP="00874F42">
            <w:pPr>
              <w:pStyle w:val="TableText"/>
            </w:pPr>
            <w:r w:rsidRPr="00FF3A8E">
              <w:t>bimodal</w:t>
            </w:r>
          </w:p>
        </w:tc>
        <w:tc>
          <w:tcPr>
            <w:tcW w:w="3906" w:type="pct"/>
            <w:hideMark/>
          </w:tcPr>
          <w:p w14:paraId="2DE7365C" w14:textId="77777777" w:rsidR="00D14480" w:rsidRPr="00FF3A8E" w:rsidRDefault="00D14480" w:rsidP="0067201D">
            <w:pPr>
              <w:pStyle w:val="TableText"/>
            </w:pPr>
            <w:r w:rsidRPr="00FF3A8E">
              <w:t>When the distribution of the sensitivity of species to a toxicant has two modes. This typically occurs with chemicals with specific modes of action. For example, herbicides are designed to affect plants at low concentrations but most animals are only affected at high concentrations.</w:t>
            </w:r>
          </w:p>
        </w:tc>
      </w:tr>
      <w:tr w:rsidR="00D14480" w:rsidRPr="00FF3A8E" w14:paraId="26D80B41" w14:textId="77777777" w:rsidTr="005A714E">
        <w:tblPrEx>
          <w:tblLook w:val="01E0" w:firstRow="1" w:lastRow="1" w:firstColumn="1" w:lastColumn="1" w:noHBand="0" w:noVBand="0"/>
        </w:tblPrEx>
        <w:trPr>
          <w:cantSplit/>
        </w:trPr>
        <w:tc>
          <w:tcPr>
            <w:tcW w:w="1094" w:type="pct"/>
            <w:vAlign w:val="center"/>
            <w:hideMark/>
          </w:tcPr>
          <w:p w14:paraId="6BE540F9" w14:textId="77777777" w:rsidR="00D14480" w:rsidRPr="00FF3A8E" w:rsidRDefault="00D14480" w:rsidP="00874F42">
            <w:pPr>
              <w:pStyle w:val="TableText"/>
            </w:pPr>
            <w:r w:rsidRPr="00FF3A8E">
              <w:t>CAS no.</w:t>
            </w:r>
          </w:p>
        </w:tc>
        <w:tc>
          <w:tcPr>
            <w:tcW w:w="3906" w:type="pct"/>
            <w:hideMark/>
          </w:tcPr>
          <w:p w14:paraId="54FA7143" w14:textId="77777777" w:rsidR="00D14480" w:rsidRPr="00FF3A8E" w:rsidRDefault="00D14480" w:rsidP="00874F42">
            <w:pPr>
              <w:pStyle w:val="TableText"/>
            </w:pPr>
            <w:r w:rsidRPr="00FF3A8E">
              <w:t>Chemical Abstracts Service number. Each chemical has a unique identifying number that is allocated by the American Chemical Society.</w:t>
            </w:r>
          </w:p>
        </w:tc>
      </w:tr>
      <w:tr w:rsidR="00D14480" w:rsidRPr="00FF3A8E" w14:paraId="3977E810" w14:textId="77777777" w:rsidTr="005A714E">
        <w:tblPrEx>
          <w:tblLook w:val="01E0" w:firstRow="1" w:lastRow="1" w:firstColumn="1" w:lastColumn="1" w:noHBand="0" w:noVBand="0"/>
        </w:tblPrEx>
        <w:trPr>
          <w:cantSplit/>
        </w:trPr>
        <w:tc>
          <w:tcPr>
            <w:tcW w:w="1094" w:type="pct"/>
            <w:vAlign w:val="center"/>
            <w:hideMark/>
          </w:tcPr>
          <w:p w14:paraId="49349661" w14:textId="77777777" w:rsidR="00D14480" w:rsidRPr="00FF3A8E" w:rsidRDefault="00D14480" w:rsidP="00874F42">
            <w:pPr>
              <w:pStyle w:val="TableText"/>
            </w:pPr>
            <w:r w:rsidRPr="00FF3A8E">
              <w:t>chronic toxicity</w:t>
            </w:r>
          </w:p>
        </w:tc>
        <w:tc>
          <w:tcPr>
            <w:tcW w:w="3906" w:type="pct"/>
            <w:hideMark/>
          </w:tcPr>
          <w:p w14:paraId="0179D1F2" w14:textId="77777777" w:rsidR="00D14480" w:rsidRPr="00FF3A8E" w:rsidRDefault="00D14480" w:rsidP="00874F42">
            <w:pPr>
              <w:pStyle w:val="TableText"/>
            </w:pPr>
            <w:r>
              <w:t>A</w:t>
            </w:r>
            <w:r w:rsidRPr="00A53F92">
              <w:t xml:space="preserve"> lethal or sublethal adverse effect that occurs after exposure to a chemical for a period of time that is a substantial portion of the organism’s life span or an adverse effect on a sensitive early life stage.</w:t>
            </w:r>
          </w:p>
        </w:tc>
      </w:tr>
      <w:tr w:rsidR="00D14480" w:rsidRPr="00FF3A8E" w14:paraId="31B1F7B4" w14:textId="77777777" w:rsidTr="005A714E">
        <w:tblPrEx>
          <w:tblLook w:val="01E0" w:firstRow="1" w:lastRow="1" w:firstColumn="1" w:lastColumn="1" w:noHBand="0" w:noVBand="0"/>
        </w:tblPrEx>
        <w:trPr>
          <w:cantSplit/>
        </w:trPr>
        <w:tc>
          <w:tcPr>
            <w:tcW w:w="1094" w:type="pct"/>
            <w:vAlign w:val="center"/>
            <w:hideMark/>
          </w:tcPr>
          <w:p w14:paraId="480E7BAA" w14:textId="77777777" w:rsidR="00D14480" w:rsidRPr="00FF3A8E" w:rsidRDefault="00D14480" w:rsidP="00874F42">
            <w:pPr>
              <w:pStyle w:val="TableText"/>
            </w:pPr>
            <w:r>
              <w:t>DGV (</w:t>
            </w:r>
            <w:r w:rsidRPr="00FF3A8E">
              <w:t>default guideline value)</w:t>
            </w:r>
          </w:p>
        </w:tc>
        <w:tc>
          <w:tcPr>
            <w:tcW w:w="3906" w:type="pct"/>
            <w:hideMark/>
          </w:tcPr>
          <w:p w14:paraId="6EAB037E" w14:textId="77777777" w:rsidR="00D14480" w:rsidRPr="00FF3A8E" w:rsidRDefault="00D14480" w:rsidP="00874F42">
            <w:pPr>
              <w:pStyle w:val="TableText"/>
            </w:pPr>
            <w:r w:rsidRPr="00FF3A8E">
              <w:t xml:space="preserve">A guideline value recommended for generic application in the absence of a more specific guideline value (e.g. site-specific) in the Australian and New Zealand </w:t>
            </w:r>
            <w:r w:rsidRPr="00A53F92">
              <w:t>Guidelines for Fresh and Marine Water Quality</w:t>
            </w:r>
            <w:r w:rsidRPr="00FF3A8E">
              <w:t>.</w:t>
            </w:r>
          </w:p>
        </w:tc>
      </w:tr>
      <w:tr w:rsidR="00D14480" w:rsidRPr="00FF3A8E" w14:paraId="6BB3E8D1" w14:textId="77777777" w:rsidTr="005A714E">
        <w:tblPrEx>
          <w:tblLook w:val="01E0" w:firstRow="1" w:lastRow="1" w:firstColumn="1" w:lastColumn="1" w:noHBand="0" w:noVBand="0"/>
        </w:tblPrEx>
        <w:trPr>
          <w:cantSplit/>
        </w:trPr>
        <w:tc>
          <w:tcPr>
            <w:tcW w:w="1094" w:type="pct"/>
            <w:vAlign w:val="center"/>
            <w:hideMark/>
          </w:tcPr>
          <w:p w14:paraId="137882D8" w14:textId="77777777" w:rsidR="00D14480" w:rsidRPr="00FF3A8E" w:rsidRDefault="00D14480" w:rsidP="00874F42">
            <w:pPr>
              <w:pStyle w:val="TableText"/>
            </w:pPr>
            <w:r w:rsidRPr="00FF3A8E">
              <w:t>EC50</w:t>
            </w:r>
            <w:r w:rsidRPr="00CC5AAC">
              <w:t xml:space="preserve"> </w:t>
            </w:r>
            <w:r w:rsidRPr="00FF3A8E">
              <w:t>(median effective concentration)</w:t>
            </w:r>
          </w:p>
        </w:tc>
        <w:tc>
          <w:tcPr>
            <w:tcW w:w="3906" w:type="pct"/>
            <w:hideMark/>
          </w:tcPr>
          <w:p w14:paraId="114052C4" w14:textId="77777777" w:rsidR="00D14480" w:rsidRPr="00FF3A8E" w:rsidRDefault="00D14480" w:rsidP="00874F42">
            <w:pPr>
              <w:pStyle w:val="TableText"/>
            </w:pPr>
            <w:r>
              <w:t>T</w:t>
            </w:r>
            <w:r w:rsidRPr="00CC5AAC">
              <w:t>he concentration of a substance in water or sediment that is estimated to produce a 50% change in the response being measured or a certain effect in 50% of the test organisms relative to the control response, under specified conditions.</w:t>
            </w:r>
          </w:p>
        </w:tc>
      </w:tr>
      <w:tr w:rsidR="00D14480" w:rsidRPr="00FF3A8E" w14:paraId="16CD3BED" w14:textId="77777777" w:rsidTr="005A714E">
        <w:tblPrEx>
          <w:tblLook w:val="01E0" w:firstRow="1" w:lastRow="1" w:firstColumn="1" w:lastColumn="1" w:noHBand="0" w:noVBand="0"/>
        </w:tblPrEx>
        <w:trPr>
          <w:cantSplit/>
          <w:trHeight w:val="132"/>
        </w:trPr>
        <w:tc>
          <w:tcPr>
            <w:tcW w:w="1094" w:type="pct"/>
            <w:vAlign w:val="center"/>
          </w:tcPr>
          <w:p w14:paraId="6FF77BEE" w14:textId="77777777" w:rsidR="00D14480" w:rsidRPr="00FF3A8E" w:rsidRDefault="00D14480" w:rsidP="00874F42">
            <w:pPr>
              <w:pStyle w:val="TableText"/>
            </w:pPr>
            <w:r>
              <w:t>ECx</w:t>
            </w:r>
          </w:p>
        </w:tc>
        <w:tc>
          <w:tcPr>
            <w:tcW w:w="3906" w:type="pct"/>
          </w:tcPr>
          <w:p w14:paraId="045A49C8" w14:textId="77777777" w:rsidR="00D14480" w:rsidRPr="00C62433" w:rsidRDefault="00D14480" w:rsidP="00874F42">
            <w:pPr>
              <w:pStyle w:val="TableText"/>
            </w:pPr>
            <w:r>
              <w:rPr>
                <w:color w:val="000000" w:themeColor="text1"/>
                <w:szCs w:val="24"/>
                <w:lang w:val="en-GB"/>
              </w:rPr>
              <w:t>T</w:t>
            </w:r>
            <w:r w:rsidRPr="00CC5AAC">
              <w:t>he concentration of a substance in water or sediment that is estimated to produce an x% change in the response being measured or a certain effect in x% of the test organisms, under specified conditions.</w:t>
            </w:r>
          </w:p>
        </w:tc>
      </w:tr>
      <w:tr w:rsidR="00D14480" w:rsidRPr="00FF3A8E" w14:paraId="0884DE77" w14:textId="77777777" w:rsidTr="005A714E">
        <w:tblPrEx>
          <w:tblLook w:val="01E0" w:firstRow="1" w:lastRow="1" w:firstColumn="1" w:lastColumn="1" w:noHBand="0" w:noVBand="0"/>
        </w:tblPrEx>
        <w:trPr>
          <w:cantSplit/>
        </w:trPr>
        <w:tc>
          <w:tcPr>
            <w:tcW w:w="1094" w:type="pct"/>
            <w:vAlign w:val="center"/>
            <w:hideMark/>
          </w:tcPr>
          <w:p w14:paraId="5A80A466" w14:textId="77777777" w:rsidR="00D14480" w:rsidRPr="00FF3A8E" w:rsidRDefault="00D14480" w:rsidP="00874F42">
            <w:pPr>
              <w:pStyle w:val="TableText"/>
            </w:pPr>
            <w:r w:rsidRPr="00FF3A8E">
              <w:t>endpoint</w:t>
            </w:r>
          </w:p>
        </w:tc>
        <w:tc>
          <w:tcPr>
            <w:tcW w:w="3906" w:type="pct"/>
            <w:hideMark/>
          </w:tcPr>
          <w:p w14:paraId="142FCAD4" w14:textId="77777777" w:rsidR="00D14480" w:rsidRPr="00FF3A8E" w:rsidRDefault="00D14480" w:rsidP="00874F42">
            <w:pPr>
              <w:pStyle w:val="TableText"/>
            </w:pPr>
            <w:r>
              <w:t>T</w:t>
            </w:r>
            <w:r w:rsidRPr="00CC5AAC">
              <w:t>he specific response of an organism that is measured in a toxicity test (e.g. mortality, growth, a particular biomarker).</w:t>
            </w:r>
          </w:p>
        </w:tc>
      </w:tr>
      <w:tr w:rsidR="00D14480" w:rsidRPr="00FF3A8E" w14:paraId="781E8AF4" w14:textId="77777777" w:rsidTr="005A714E">
        <w:tblPrEx>
          <w:tblLook w:val="01E0" w:firstRow="1" w:lastRow="1" w:firstColumn="1" w:lastColumn="1" w:noHBand="0" w:noVBand="0"/>
        </w:tblPrEx>
        <w:trPr>
          <w:cantSplit/>
        </w:trPr>
        <w:tc>
          <w:tcPr>
            <w:tcW w:w="1094" w:type="pct"/>
            <w:vAlign w:val="center"/>
          </w:tcPr>
          <w:p w14:paraId="6C573E97" w14:textId="77777777" w:rsidR="00D14480" w:rsidRPr="00FF3A8E" w:rsidRDefault="00D14480" w:rsidP="00874F42">
            <w:pPr>
              <w:pStyle w:val="TableText"/>
            </w:pPr>
            <w:r w:rsidRPr="00872714">
              <w:t>GABA</w:t>
            </w:r>
          </w:p>
        </w:tc>
        <w:tc>
          <w:tcPr>
            <w:tcW w:w="3906" w:type="pct"/>
          </w:tcPr>
          <w:p w14:paraId="6A090C02" w14:textId="77777777" w:rsidR="00D14480" w:rsidRPr="00FF3A8E" w:rsidRDefault="00D14480" w:rsidP="0067201D">
            <w:pPr>
              <w:pStyle w:val="TableText"/>
            </w:pPr>
            <w:r w:rsidRPr="00872714">
              <w:t>γ-aminobutyric acid</w:t>
            </w:r>
            <w:r>
              <w:t>.</w:t>
            </w:r>
          </w:p>
        </w:tc>
      </w:tr>
      <w:tr w:rsidR="00D14480" w:rsidRPr="00FF3A8E" w14:paraId="5FB2E6E2" w14:textId="77777777" w:rsidTr="005A714E">
        <w:tblPrEx>
          <w:tblLook w:val="01E0" w:firstRow="1" w:lastRow="1" w:firstColumn="1" w:lastColumn="1" w:noHBand="0" w:noVBand="0"/>
        </w:tblPrEx>
        <w:trPr>
          <w:cantSplit/>
        </w:trPr>
        <w:tc>
          <w:tcPr>
            <w:tcW w:w="1094" w:type="pct"/>
            <w:vAlign w:val="center"/>
            <w:hideMark/>
          </w:tcPr>
          <w:p w14:paraId="46C5B7DD" w14:textId="77777777" w:rsidR="00D14480" w:rsidRPr="00FF3A8E" w:rsidRDefault="00D14480" w:rsidP="00874F42">
            <w:pPr>
              <w:pStyle w:val="TableText"/>
            </w:pPr>
            <w:r w:rsidRPr="00FF3A8E">
              <w:t>guideline value (GV)</w:t>
            </w:r>
          </w:p>
        </w:tc>
        <w:tc>
          <w:tcPr>
            <w:tcW w:w="3906" w:type="pct"/>
            <w:hideMark/>
          </w:tcPr>
          <w:p w14:paraId="2A2B71A1" w14:textId="77777777" w:rsidR="00D14480" w:rsidRPr="00FF3A8E" w:rsidRDefault="00D14480" w:rsidP="00001FEE">
            <w:pPr>
              <w:pStyle w:val="TableText"/>
            </w:pPr>
            <w:r w:rsidRPr="00FF3A8E">
              <w:t xml:space="preserve">A measurable quantity (e.g. concentration) or condition of an indicator for a specific </w:t>
            </w:r>
            <w:r>
              <w:t>community</w:t>
            </w:r>
            <w:r w:rsidRPr="00FF3A8E">
              <w:t xml:space="preserve"> value below which (or above which, in the case of stressors such as pH, dissolved oxygen and many biodiversity responses) there is considered to be a low risk of unacceptable effects occurring to that </w:t>
            </w:r>
            <w:r>
              <w:t>community</w:t>
            </w:r>
            <w:r w:rsidRPr="00FF3A8E">
              <w:t xml:space="preserve"> value. Guideline values for more than one indicator should be used simultaneously in a multiple lines of evidence approach.</w:t>
            </w:r>
          </w:p>
        </w:tc>
      </w:tr>
      <w:tr w:rsidR="00D14480" w:rsidRPr="00FF3A8E" w14:paraId="788E5871" w14:textId="77777777" w:rsidTr="005A714E">
        <w:tblPrEx>
          <w:tblLook w:val="01E0" w:firstRow="1" w:lastRow="1" w:firstColumn="1" w:lastColumn="1" w:noHBand="0" w:noVBand="0"/>
        </w:tblPrEx>
        <w:trPr>
          <w:cantSplit/>
        </w:trPr>
        <w:tc>
          <w:tcPr>
            <w:tcW w:w="1094" w:type="pct"/>
            <w:vAlign w:val="center"/>
            <w:hideMark/>
          </w:tcPr>
          <w:p w14:paraId="6D504B2F" w14:textId="77777777" w:rsidR="00D14480" w:rsidRPr="00FF3A8E" w:rsidRDefault="00D14480" w:rsidP="00874F42">
            <w:pPr>
              <w:pStyle w:val="TableText"/>
            </w:pPr>
            <w:r w:rsidRPr="00FF3A8E">
              <w:rPr>
                <w:lang w:val="it-IT"/>
              </w:rPr>
              <w:t>LC50 (median lethal concentration)</w:t>
            </w:r>
          </w:p>
        </w:tc>
        <w:tc>
          <w:tcPr>
            <w:tcW w:w="3906" w:type="pct"/>
            <w:hideMark/>
          </w:tcPr>
          <w:p w14:paraId="3C61372C" w14:textId="77777777" w:rsidR="00D14480" w:rsidRPr="00FF3A8E" w:rsidRDefault="00D14480" w:rsidP="00874F42">
            <w:pPr>
              <w:pStyle w:val="TableText"/>
            </w:pPr>
            <w:r>
              <w:t>T</w:t>
            </w:r>
            <w:r w:rsidRPr="00CC5AAC">
              <w:t>he concentration of a substance in water or sediment that is estimated to be lethal to 50% of a group of test organisms, relative to the control response, under specified conditions.</w:t>
            </w:r>
          </w:p>
        </w:tc>
      </w:tr>
      <w:tr w:rsidR="00D14480" w:rsidRPr="00FF3A8E" w14:paraId="0AD3BC50" w14:textId="77777777" w:rsidTr="005A714E">
        <w:tblPrEx>
          <w:tblLook w:val="01E0" w:firstRow="1" w:lastRow="1" w:firstColumn="1" w:lastColumn="1" w:noHBand="0" w:noVBand="0"/>
        </w:tblPrEx>
        <w:trPr>
          <w:cantSplit/>
        </w:trPr>
        <w:tc>
          <w:tcPr>
            <w:tcW w:w="1094" w:type="pct"/>
            <w:vAlign w:val="center"/>
            <w:hideMark/>
          </w:tcPr>
          <w:p w14:paraId="07E3CF81" w14:textId="77777777" w:rsidR="00D14480" w:rsidRPr="00FF3A8E" w:rsidRDefault="00D14480" w:rsidP="00874F42">
            <w:pPr>
              <w:pStyle w:val="TableText"/>
            </w:pPr>
            <w:r w:rsidRPr="00FF3A8E">
              <w:t>LOEC (lowest observed effect concentration)</w:t>
            </w:r>
          </w:p>
        </w:tc>
        <w:tc>
          <w:tcPr>
            <w:tcW w:w="3906" w:type="pct"/>
            <w:hideMark/>
          </w:tcPr>
          <w:p w14:paraId="499C436E" w14:textId="77777777" w:rsidR="00D14480" w:rsidRPr="00FF3A8E" w:rsidRDefault="00D14480" w:rsidP="00874F42">
            <w:pPr>
              <w:pStyle w:val="TableText"/>
            </w:pPr>
            <w:r>
              <w:t>T</w:t>
            </w:r>
            <w:r w:rsidRPr="00CC5AAC">
              <w:t>he lowest concentration of a material used in a toxicity test that has a statistically significant adverse effect on the exposed population of test organisms as compared with the controls.</w:t>
            </w:r>
          </w:p>
        </w:tc>
      </w:tr>
      <w:tr w:rsidR="00D14480" w:rsidRPr="00FF3A8E" w14:paraId="1EFB9D94" w14:textId="77777777" w:rsidTr="005A714E">
        <w:tblPrEx>
          <w:tblLook w:val="01E0" w:firstRow="1" w:lastRow="1" w:firstColumn="1" w:lastColumn="1" w:noHBand="0" w:noVBand="0"/>
        </w:tblPrEx>
        <w:trPr>
          <w:cantSplit/>
        </w:trPr>
        <w:tc>
          <w:tcPr>
            <w:tcW w:w="1094" w:type="pct"/>
            <w:vAlign w:val="center"/>
          </w:tcPr>
          <w:p w14:paraId="77EC0B5F" w14:textId="77777777" w:rsidR="00D14480" w:rsidRPr="00FF3A8E" w:rsidRDefault="00D14480" w:rsidP="00874F42">
            <w:pPr>
              <w:pStyle w:val="TableText"/>
            </w:pPr>
            <w:r w:rsidRPr="00FF3A8E">
              <w:t>LOE</w:t>
            </w:r>
            <w:r>
              <w:t>L</w:t>
            </w:r>
            <w:r w:rsidRPr="00FF3A8E">
              <w:t xml:space="preserve"> (lowest observed effect </w:t>
            </w:r>
            <w:r>
              <w:t>level</w:t>
            </w:r>
            <w:r w:rsidRPr="00FF3A8E">
              <w:t>)</w:t>
            </w:r>
          </w:p>
        </w:tc>
        <w:tc>
          <w:tcPr>
            <w:tcW w:w="3906" w:type="pct"/>
          </w:tcPr>
          <w:p w14:paraId="357D3233" w14:textId="77777777" w:rsidR="00D14480" w:rsidRPr="00FF3A8E" w:rsidRDefault="00D14480" w:rsidP="00874F42">
            <w:pPr>
              <w:pStyle w:val="TableText"/>
            </w:pPr>
            <w:r>
              <w:rPr>
                <w:lang w:eastAsia="ja-JP"/>
              </w:rPr>
              <w:t>Synonymous with LOEC.</w:t>
            </w:r>
          </w:p>
        </w:tc>
      </w:tr>
      <w:tr w:rsidR="00D14480" w:rsidRPr="00FF3A8E" w14:paraId="5F2DD83C" w14:textId="77777777" w:rsidTr="005A714E">
        <w:tblPrEx>
          <w:tblLook w:val="01E0" w:firstRow="1" w:lastRow="1" w:firstColumn="1" w:lastColumn="1" w:noHBand="0" w:noVBand="0"/>
        </w:tblPrEx>
        <w:trPr>
          <w:cantSplit/>
        </w:trPr>
        <w:tc>
          <w:tcPr>
            <w:tcW w:w="1094" w:type="pct"/>
            <w:vAlign w:val="center"/>
          </w:tcPr>
          <w:p w14:paraId="35D90272" w14:textId="77777777" w:rsidR="00D14480" w:rsidRPr="00FF3A8E" w:rsidRDefault="00D14480" w:rsidP="00874F42">
            <w:pPr>
              <w:pStyle w:val="TableText"/>
            </w:pPr>
            <w:r w:rsidRPr="00FF3A8E">
              <w:t>mode of action</w:t>
            </w:r>
          </w:p>
        </w:tc>
        <w:tc>
          <w:tcPr>
            <w:tcW w:w="3906" w:type="pct"/>
            <w:hideMark/>
          </w:tcPr>
          <w:p w14:paraId="613F946C" w14:textId="77777777" w:rsidR="00D14480" w:rsidRPr="00FF3A8E" w:rsidRDefault="00D14480" w:rsidP="00CC5AAC">
            <w:pPr>
              <w:pStyle w:val="TableText"/>
            </w:pPr>
            <w:r w:rsidRPr="00FF3A8E">
              <w:t>The means by which a chemical exerts its toxic effects. For example, triazine herbicides inhibit the photosystem II component of plants</w:t>
            </w:r>
            <w:r>
              <w:t>’</w:t>
            </w:r>
            <w:r w:rsidRPr="00FF3A8E">
              <w:t xml:space="preserve"> photosynthesis biochemical reaction. </w:t>
            </w:r>
          </w:p>
        </w:tc>
      </w:tr>
      <w:tr w:rsidR="00D14480" w:rsidRPr="00FF3A8E" w14:paraId="505CC355" w14:textId="77777777" w:rsidTr="005A714E">
        <w:tblPrEx>
          <w:tblLook w:val="01E0" w:firstRow="1" w:lastRow="1" w:firstColumn="1" w:lastColumn="1" w:noHBand="0" w:noVBand="0"/>
        </w:tblPrEx>
        <w:trPr>
          <w:cantSplit/>
        </w:trPr>
        <w:tc>
          <w:tcPr>
            <w:tcW w:w="1094" w:type="pct"/>
            <w:vAlign w:val="center"/>
            <w:hideMark/>
          </w:tcPr>
          <w:p w14:paraId="7CCD704D" w14:textId="77777777" w:rsidR="00D14480" w:rsidRPr="00FF3A8E" w:rsidRDefault="00D14480" w:rsidP="00874F42">
            <w:pPr>
              <w:pStyle w:val="TableText"/>
            </w:pPr>
            <w:r w:rsidRPr="00FF3A8E">
              <w:t>NOEC (no observed effect concentration)</w:t>
            </w:r>
          </w:p>
        </w:tc>
        <w:tc>
          <w:tcPr>
            <w:tcW w:w="3906" w:type="pct"/>
            <w:hideMark/>
          </w:tcPr>
          <w:p w14:paraId="705A397F" w14:textId="77777777" w:rsidR="00D14480" w:rsidRPr="00FF3A8E" w:rsidRDefault="00D14480" w:rsidP="00874F42">
            <w:pPr>
              <w:pStyle w:val="TableText"/>
            </w:pPr>
            <w:r>
              <w:t>T</w:t>
            </w:r>
            <w:r w:rsidRPr="00CC5AAC">
              <w:t>he highest concentration of a material used in a toxicity test that has no statistically significant adverse effect on the exposed population of test organisms as compared with the controls.</w:t>
            </w:r>
          </w:p>
        </w:tc>
      </w:tr>
      <w:tr w:rsidR="00D14480" w:rsidRPr="00FF3A8E" w14:paraId="74BD6069" w14:textId="77777777" w:rsidTr="005A714E">
        <w:tblPrEx>
          <w:tblLook w:val="01E0" w:firstRow="1" w:lastRow="1" w:firstColumn="1" w:lastColumn="1" w:noHBand="0" w:noVBand="0"/>
        </w:tblPrEx>
        <w:trPr>
          <w:cantSplit/>
        </w:trPr>
        <w:tc>
          <w:tcPr>
            <w:tcW w:w="1094" w:type="pct"/>
            <w:vAlign w:val="center"/>
          </w:tcPr>
          <w:p w14:paraId="11BE7A02" w14:textId="77777777" w:rsidR="00D14480" w:rsidRPr="00FF3A8E" w:rsidRDefault="00D14480" w:rsidP="00874F42">
            <w:pPr>
              <w:pStyle w:val="TableText"/>
            </w:pPr>
            <w:r>
              <w:t>NOEL (no observed effect level)</w:t>
            </w:r>
          </w:p>
        </w:tc>
        <w:tc>
          <w:tcPr>
            <w:tcW w:w="3906" w:type="pct"/>
          </w:tcPr>
          <w:p w14:paraId="535B684E" w14:textId="77777777" w:rsidR="00D14480" w:rsidRPr="00D8063C" w:rsidRDefault="00D14480" w:rsidP="00874F42">
            <w:pPr>
              <w:pStyle w:val="TableText"/>
              <w:rPr>
                <w:highlight w:val="yellow"/>
              </w:rPr>
            </w:pPr>
            <w:r>
              <w:rPr>
                <w:lang w:eastAsia="ja-JP"/>
              </w:rPr>
              <w:t>Synonymous with NOEC.</w:t>
            </w:r>
          </w:p>
        </w:tc>
      </w:tr>
      <w:tr w:rsidR="00D14480" w:rsidRPr="00FF3A8E" w14:paraId="4FCD8501" w14:textId="77777777" w:rsidTr="005A714E">
        <w:tblPrEx>
          <w:tblLook w:val="01E0" w:firstRow="1" w:lastRow="1" w:firstColumn="1" w:lastColumn="1" w:noHBand="0" w:noVBand="0"/>
        </w:tblPrEx>
        <w:trPr>
          <w:cantSplit/>
        </w:trPr>
        <w:tc>
          <w:tcPr>
            <w:tcW w:w="1094" w:type="pct"/>
            <w:vAlign w:val="center"/>
            <w:hideMark/>
          </w:tcPr>
          <w:p w14:paraId="20288173" w14:textId="77777777" w:rsidR="00D14480" w:rsidRPr="00FF3A8E" w:rsidRDefault="00D14480" w:rsidP="00874F42">
            <w:pPr>
              <w:pStyle w:val="TableText"/>
            </w:pPr>
            <w:r w:rsidRPr="00FF3A8E">
              <w:t>phototrophs</w:t>
            </w:r>
          </w:p>
        </w:tc>
        <w:tc>
          <w:tcPr>
            <w:tcW w:w="3906" w:type="pct"/>
            <w:hideMark/>
          </w:tcPr>
          <w:p w14:paraId="4CFAE26E" w14:textId="77777777" w:rsidR="00D14480" w:rsidRPr="00FF3A8E" w:rsidRDefault="00D14480" w:rsidP="00874F42">
            <w:pPr>
              <w:pStyle w:val="TableText"/>
            </w:pPr>
            <w:r w:rsidRPr="0043308B">
              <w:t>An organism that photosynthesises as its main means of obtaining energy (e.g. plants</w:t>
            </w:r>
            <w:r>
              <w:t xml:space="preserve">, </w:t>
            </w:r>
            <w:r w:rsidRPr="0043308B">
              <w:t>algae).</w:t>
            </w:r>
          </w:p>
        </w:tc>
      </w:tr>
      <w:tr w:rsidR="00D14480" w:rsidRPr="00FF3A8E" w14:paraId="4BDC3BFD" w14:textId="77777777" w:rsidTr="005A714E">
        <w:tblPrEx>
          <w:tblLook w:val="01E0" w:firstRow="1" w:lastRow="1" w:firstColumn="1" w:lastColumn="1" w:noHBand="0" w:noVBand="0"/>
        </w:tblPrEx>
        <w:trPr>
          <w:cantSplit/>
        </w:trPr>
        <w:tc>
          <w:tcPr>
            <w:tcW w:w="1094" w:type="pct"/>
            <w:vAlign w:val="center"/>
            <w:hideMark/>
          </w:tcPr>
          <w:p w14:paraId="1A74588C" w14:textId="77777777" w:rsidR="00D14480" w:rsidRPr="00FF3A8E" w:rsidRDefault="00D14480" w:rsidP="00874F42">
            <w:pPr>
              <w:pStyle w:val="TableText"/>
            </w:pPr>
            <w:r w:rsidRPr="00FF3A8E">
              <w:t>PSII</w:t>
            </w:r>
          </w:p>
        </w:tc>
        <w:tc>
          <w:tcPr>
            <w:tcW w:w="3906" w:type="pct"/>
            <w:hideMark/>
          </w:tcPr>
          <w:p w14:paraId="7C75BCE3" w14:textId="77777777" w:rsidR="00D14480" w:rsidRPr="00FF3A8E" w:rsidRDefault="00D14480" w:rsidP="00874F42">
            <w:pPr>
              <w:pStyle w:val="TableText"/>
            </w:pPr>
            <w:r w:rsidRPr="00FF3A8E">
              <w:t>Photosystem II of the photosynthetic biochemical pathway.</w:t>
            </w:r>
          </w:p>
        </w:tc>
      </w:tr>
      <w:tr w:rsidR="00D14480" w:rsidRPr="00FF3A8E" w14:paraId="517158DE" w14:textId="77777777" w:rsidTr="005A714E">
        <w:tblPrEx>
          <w:tblLook w:val="01E0" w:firstRow="1" w:lastRow="1" w:firstColumn="1" w:lastColumn="1" w:noHBand="0" w:noVBand="0"/>
        </w:tblPrEx>
        <w:trPr>
          <w:cantSplit/>
        </w:trPr>
        <w:tc>
          <w:tcPr>
            <w:tcW w:w="1094" w:type="pct"/>
            <w:vAlign w:val="center"/>
            <w:hideMark/>
          </w:tcPr>
          <w:p w14:paraId="5AF6258F" w14:textId="77777777" w:rsidR="00D14480" w:rsidRPr="00FF3A8E" w:rsidRDefault="00D14480" w:rsidP="00874F42">
            <w:pPr>
              <w:pStyle w:val="TableText"/>
            </w:pPr>
            <w:r w:rsidRPr="00FF3A8E">
              <w:t>site-specific</w:t>
            </w:r>
            <w:r>
              <w:t xml:space="preserve"> guideline value</w:t>
            </w:r>
          </w:p>
        </w:tc>
        <w:tc>
          <w:tcPr>
            <w:tcW w:w="3906" w:type="pct"/>
            <w:hideMark/>
          </w:tcPr>
          <w:p w14:paraId="300BD82F" w14:textId="77777777" w:rsidR="00D14480" w:rsidRPr="00FF3A8E" w:rsidRDefault="00D14480" w:rsidP="00874F42">
            <w:pPr>
              <w:pStyle w:val="TableText"/>
            </w:pPr>
            <w:r>
              <w:t>A</w:t>
            </w:r>
            <w:r w:rsidRPr="00CC5AAC">
              <w:t xml:space="preserve"> guideline value that is relevant to the specific location or conditions that are the focus of a given assessment or issue.</w:t>
            </w:r>
          </w:p>
        </w:tc>
      </w:tr>
      <w:tr w:rsidR="00D14480" w:rsidRPr="00FF3A8E" w14:paraId="58BFF138" w14:textId="77777777" w:rsidTr="005A714E">
        <w:tblPrEx>
          <w:tblLook w:val="01E0" w:firstRow="1" w:lastRow="1" w:firstColumn="1" w:lastColumn="1" w:noHBand="0" w:noVBand="0"/>
        </w:tblPrEx>
        <w:trPr>
          <w:cantSplit/>
        </w:trPr>
        <w:tc>
          <w:tcPr>
            <w:tcW w:w="1094" w:type="pct"/>
            <w:vAlign w:val="center"/>
            <w:hideMark/>
          </w:tcPr>
          <w:p w14:paraId="046B15AB" w14:textId="77777777" w:rsidR="00D14480" w:rsidRPr="00FF3A8E" w:rsidRDefault="00D14480" w:rsidP="00874F42">
            <w:pPr>
              <w:pStyle w:val="TableText"/>
            </w:pPr>
            <w:r w:rsidRPr="00FF3A8E">
              <w:lastRenderedPageBreak/>
              <w:t>species</w:t>
            </w:r>
            <w:r>
              <w:t xml:space="preserve"> (biological)</w:t>
            </w:r>
          </w:p>
        </w:tc>
        <w:tc>
          <w:tcPr>
            <w:tcW w:w="3906" w:type="pct"/>
            <w:hideMark/>
          </w:tcPr>
          <w:p w14:paraId="1B2AEC82" w14:textId="77777777" w:rsidR="00D14480" w:rsidRPr="00FF3A8E" w:rsidRDefault="00D14480" w:rsidP="008F05E6">
            <w:pPr>
              <w:pStyle w:val="TableText"/>
            </w:pPr>
            <w:r w:rsidRPr="00FF3A8E">
              <w:t>A group of organisms that resemble each other to a greater degree than members of other groups and that form a reproductively isolated group that will not produce viable offspring if bred with members of another group.</w:t>
            </w:r>
          </w:p>
        </w:tc>
      </w:tr>
      <w:tr w:rsidR="00D14480" w:rsidRPr="00FF3A8E" w14:paraId="0294B2C3" w14:textId="77777777" w:rsidTr="005A714E">
        <w:tblPrEx>
          <w:tblLook w:val="01E0" w:firstRow="1" w:lastRow="1" w:firstColumn="1" w:lastColumn="1" w:noHBand="0" w:noVBand="0"/>
        </w:tblPrEx>
        <w:trPr>
          <w:cantSplit/>
        </w:trPr>
        <w:tc>
          <w:tcPr>
            <w:tcW w:w="1094" w:type="pct"/>
            <w:vAlign w:val="center"/>
          </w:tcPr>
          <w:p w14:paraId="5695E1CF" w14:textId="77777777" w:rsidR="00D14480" w:rsidRPr="00FF3A8E" w:rsidRDefault="00D14480" w:rsidP="00874F42">
            <w:pPr>
              <w:pStyle w:val="TableText"/>
            </w:pPr>
            <w:r w:rsidRPr="00FF3A8E">
              <w:t>SSD</w:t>
            </w:r>
            <w:r>
              <w:t xml:space="preserve"> (</w:t>
            </w:r>
            <w:r w:rsidRPr="00105C46">
              <w:t>species sensitivity distribution</w:t>
            </w:r>
            <w:r>
              <w:t>)</w:t>
            </w:r>
          </w:p>
        </w:tc>
        <w:tc>
          <w:tcPr>
            <w:tcW w:w="3906" w:type="pct"/>
            <w:hideMark/>
          </w:tcPr>
          <w:p w14:paraId="4F04B4B0" w14:textId="77777777" w:rsidR="00D14480" w:rsidRPr="00FF3A8E" w:rsidRDefault="00D14480" w:rsidP="00874F42">
            <w:pPr>
              <w:pStyle w:val="TableText"/>
            </w:pPr>
            <w:r>
              <w:t>A</w:t>
            </w:r>
            <w:r w:rsidRPr="00105C46">
              <w:t xml:space="preserve"> method that plots the cumulative frequency of species’ sensitivities to a toxicant and fits a statistical distribution to the data. From the distribution, the concentration that should theoretically protect a selected percentage of species can be determined.</w:t>
            </w:r>
          </w:p>
        </w:tc>
      </w:tr>
      <w:tr w:rsidR="00D14480" w:rsidRPr="00FF3A8E" w14:paraId="78D49843" w14:textId="77777777" w:rsidTr="005A714E">
        <w:tblPrEx>
          <w:tblLook w:val="01E0" w:firstRow="1" w:lastRow="1" w:firstColumn="1" w:lastColumn="1" w:noHBand="0" w:noVBand="0"/>
        </w:tblPrEx>
        <w:trPr>
          <w:cantSplit/>
        </w:trPr>
        <w:tc>
          <w:tcPr>
            <w:tcW w:w="1094" w:type="pct"/>
            <w:tcBorders>
              <w:bottom w:val="single" w:sz="4" w:space="0" w:color="auto"/>
            </w:tcBorders>
            <w:vAlign w:val="center"/>
            <w:hideMark/>
          </w:tcPr>
          <w:p w14:paraId="1D9A88C2" w14:textId="77777777" w:rsidR="00D14480" w:rsidRPr="00FF3A8E" w:rsidRDefault="00D14480" w:rsidP="00874F42">
            <w:pPr>
              <w:pStyle w:val="TableText"/>
            </w:pPr>
            <w:r w:rsidRPr="00FF3A8E">
              <w:t>toxicity</w:t>
            </w:r>
          </w:p>
        </w:tc>
        <w:tc>
          <w:tcPr>
            <w:tcW w:w="3906" w:type="pct"/>
            <w:tcBorders>
              <w:bottom w:val="single" w:sz="4" w:space="0" w:color="auto"/>
            </w:tcBorders>
            <w:hideMark/>
          </w:tcPr>
          <w:p w14:paraId="4C7D2A82" w14:textId="77777777" w:rsidR="00D14480" w:rsidRPr="00FF3A8E" w:rsidRDefault="00D14480" w:rsidP="000A490F">
            <w:pPr>
              <w:pStyle w:val="TableText"/>
            </w:pPr>
            <w:r w:rsidRPr="00FF3A8E">
              <w:t>The inherent potential or capacity of a material to cause adverse effects in a living organism.</w:t>
            </w:r>
          </w:p>
        </w:tc>
      </w:tr>
      <w:tr w:rsidR="00D14480" w:rsidRPr="00FF3A8E" w14:paraId="4C2739EB" w14:textId="77777777" w:rsidTr="005A714E">
        <w:tblPrEx>
          <w:tblLook w:val="01E0" w:firstRow="1" w:lastRow="1" w:firstColumn="1" w:lastColumn="1" w:noHBand="0" w:noVBand="0"/>
        </w:tblPrEx>
        <w:trPr>
          <w:cantSplit/>
        </w:trPr>
        <w:tc>
          <w:tcPr>
            <w:tcW w:w="1094" w:type="pct"/>
            <w:tcBorders>
              <w:bottom w:val="single" w:sz="12" w:space="0" w:color="auto"/>
            </w:tcBorders>
            <w:vAlign w:val="center"/>
            <w:hideMark/>
          </w:tcPr>
          <w:p w14:paraId="0EE236C8" w14:textId="77777777" w:rsidR="00D14480" w:rsidRPr="00FF3A8E" w:rsidRDefault="00D14480" w:rsidP="00874F42">
            <w:pPr>
              <w:pStyle w:val="TableText"/>
            </w:pPr>
            <w:r w:rsidRPr="00FF3A8E">
              <w:t>toxicity test</w:t>
            </w:r>
          </w:p>
        </w:tc>
        <w:tc>
          <w:tcPr>
            <w:tcW w:w="3906" w:type="pct"/>
            <w:tcBorders>
              <w:bottom w:val="single" w:sz="12" w:space="0" w:color="auto"/>
            </w:tcBorders>
            <w:hideMark/>
          </w:tcPr>
          <w:p w14:paraId="175C54A0" w14:textId="77777777" w:rsidR="00D14480" w:rsidRPr="00FF3A8E" w:rsidRDefault="00D14480" w:rsidP="00874F42">
            <w:pPr>
              <w:pStyle w:val="TableText"/>
            </w:pPr>
            <w:r>
              <w:t>T</w:t>
            </w:r>
            <w:r w:rsidRPr="00105C46">
              <w:t>he means by which the toxicity of a chemical or other test material is determined. A toxicity test is used to measure the degree of response produced by exposure to a specific level of stimulus (or concentration of chemical) for a specified test period.</w:t>
            </w:r>
          </w:p>
        </w:tc>
      </w:tr>
    </w:tbl>
    <w:p w14:paraId="2DA60E2D" w14:textId="77777777" w:rsidR="008F7426" w:rsidRDefault="008F7426" w:rsidP="008F7426">
      <w:pPr>
        <w:tabs>
          <w:tab w:val="left" w:pos="1875"/>
        </w:tabs>
        <w:sectPr w:rsidR="008F7426" w:rsidSect="00660EA7">
          <w:pgSz w:w="11907" w:h="16840" w:code="9"/>
          <w:pgMar w:top="1418" w:right="1418" w:bottom="1418" w:left="1418" w:header="567" w:footer="284" w:gutter="0"/>
          <w:pgNumType w:start="1"/>
          <w:cols w:space="708"/>
          <w:docGrid w:linePitch="299"/>
        </w:sectPr>
      </w:pPr>
    </w:p>
    <w:p w14:paraId="567AADBC" w14:textId="762071F5" w:rsidR="008F7426" w:rsidRPr="00177832" w:rsidRDefault="00E80DF2" w:rsidP="00177832">
      <w:pPr>
        <w:pStyle w:val="Heading2"/>
        <w:numPr>
          <w:ilvl w:val="0"/>
          <w:numId w:val="0"/>
        </w:numPr>
      </w:pPr>
      <w:bookmarkStart w:id="41" w:name="_Toc46327097"/>
      <w:bookmarkStart w:id="42" w:name="_Ref199343459"/>
      <w:bookmarkStart w:id="43" w:name="_Ref199343477"/>
      <w:bookmarkStart w:id="44" w:name="_Ref199793404"/>
      <w:bookmarkStart w:id="45" w:name="_Toc205549924"/>
      <w:r w:rsidRPr="00177832">
        <w:lastRenderedPageBreak/>
        <w:t>Appendix</w:t>
      </w:r>
      <w:r w:rsidR="00A72E18">
        <w:t> </w:t>
      </w:r>
      <w:r w:rsidR="008F7426" w:rsidRPr="00177832">
        <w:t>A</w:t>
      </w:r>
      <w:r w:rsidR="000B09ED" w:rsidRPr="00177832">
        <w:t>:</w:t>
      </w:r>
      <w:r w:rsidR="008F7426" w:rsidRPr="00177832">
        <w:t xml:space="preserve"> </w:t>
      </w:r>
      <w:r w:rsidR="0068226B">
        <w:t>T</w:t>
      </w:r>
      <w:r w:rsidR="008F7426" w:rsidRPr="00177832">
        <w:t xml:space="preserve">oxicity data </w:t>
      </w:r>
      <w:r w:rsidR="0068226B">
        <w:t xml:space="preserve">that passed the screening and quality assessment and were </w:t>
      </w:r>
      <w:r w:rsidR="008F7426" w:rsidRPr="00177832">
        <w:t xml:space="preserve">used to derive </w:t>
      </w:r>
      <w:r w:rsidR="0068226B">
        <w:t xml:space="preserve">the </w:t>
      </w:r>
      <w:r w:rsidR="008F7426" w:rsidRPr="00177832">
        <w:t>default guideline values</w:t>
      </w:r>
      <w:bookmarkEnd w:id="41"/>
      <w:bookmarkEnd w:id="42"/>
      <w:bookmarkEnd w:id="43"/>
      <w:bookmarkEnd w:id="44"/>
      <w:bookmarkEnd w:id="45"/>
    </w:p>
    <w:p w14:paraId="0EEC560A" w14:textId="35619452" w:rsidR="00C27385" w:rsidRPr="00AF3EB5" w:rsidRDefault="001C1A1B" w:rsidP="001C1A1B">
      <w:pPr>
        <w:pStyle w:val="Caption"/>
      </w:pPr>
      <w:bookmarkStart w:id="46" w:name="_Toc205549936"/>
      <w:r>
        <w:t>Table A </w:t>
      </w:r>
      <w:r w:rsidR="00D14480">
        <w:fldChar w:fldCharType="begin"/>
      </w:r>
      <w:r w:rsidR="00D14480">
        <w:instrText xml:space="preserve"> SEQ Table_A \* ARABIC </w:instrText>
      </w:r>
      <w:r w:rsidR="00D14480">
        <w:fldChar w:fldCharType="separate"/>
      </w:r>
      <w:r w:rsidR="00BA1209">
        <w:rPr>
          <w:noProof/>
        </w:rPr>
        <w:t>1</w:t>
      </w:r>
      <w:r w:rsidR="00D14480">
        <w:rPr>
          <w:noProof/>
        </w:rPr>
        <w:fldChar w:fldCharType="end"/>
      </w:r>
      <w:r w:rsidR="00C27385" w:rsidRPr="005F6F25">
        <w:rPr>
          <w:lang w:eastAsia="ja-JP"/>
        </w:rPr>
        <w:t xml:space="preserve"> Summary</w:t>
      </w:r>
      <w:r w:rsidR="00DC3AED">
        <w:rPr>
          <w:lang w:eastAsia="ja-JP"/>
        </w:rPr>
        <w:t>,</w:t>
      </w:r>
      <w:r w:rsidR="00C27385" w:rsidRPr="005F6F25">
        <w:rPr>
          <w:lang w:eastAsia="ja-JP"/>
        </w:rPr>
        <w:t xml:space="preserve"> toxicity data that passed the screening and quality </w:t>
      </w:r>
      <w:r w:rsidR="00DC3AED">
        <w:rPr>
          <w:lang w:eastAsia="ja-JP"/>
        </w:rPr>
        <w:t>assessment,</w:t>
      </w:r>
      <w:r w:rsidR="00DC3AED" w:rsidRPr="00DC3AED">
        <w:rPr>
          <w:lang w:eastAsia="ja-JP"/>
        </w:rPr>
        <w:t xml:space="preserve"> </w:t>
      </w:r>
      <w:r w:rsidR="00DC3AED">
        <w:rPr>
          <w:lang w:eastAsia="ja-JP"/>
        </w:rPr>
        <w:t>for fipronil in marine water</w:t>
      </w:r>
      <w:bookmarkEnd w:id="46"/>
    </w:p>
    <w:tbl>
      <w:tblPr>
        <w:tblStyle w:val="LightShading"/>
        <w:tblW w:w="5000" w:type="pct"/>
        <w:tblBorders>
          <w:top w:val="single" w:sz="4" w:space="0" w:color="auto"/>
          <w:bottom w:val="single" w:sz="4" w:space="0" w:color="auto"/>
          <w:insideH w:val="single" w:sz="4" w:space="0" w:color="auto"/>
        </w:tblBorders>
        <w:tblLayout w:type="fixed"/>
        <w:tblLook w:val="0400" w:firstRow="0" w:lastRow="0" w:firstColumn="0" w:lastColumn="0" w:noHBand="0" w:noVBand="1"/>
        <w:tblCaption w:val="Summary, toxicity data that passed the screening and quality assessment, for fipronil in marine water"/>
        <w:tblDescription w:val="Table lists 24 species with their taxonomic group. The different life stages for each species are provided with the following test information: exposure duration (days), test type, toxicity measure, test medium, temperature (degrees Celcius), pH, concentration (microgram per litre) and reference."/>
      </w:tblPr>
      <w:tblGrid>
        <w:gridCol w:w="1135"/>
        <w:gridCol w:w="1561"/>
        <w:gridCol w:w="1275"/>
        <w:gridCol w:w="991"/>
        <w:gridCol w:w="994"/>
        <w:gridCol w:w="1557"/>
        <w:gridCol w:w="1703"/>
        <w:gridCol w:w="851"/>
        <w:gridCol w:w="854"/>
        <w:gridCol w:w="1428"/>
        <w:gridCol w:w="1655"/>
      </w:tblGrid>
      <w:tr w:rsidR="00CC08AE" w:rsidRPr="00A61E13" w14:paraId="50C70100" w14:textId="77777777" w:rsidTr="00CC08AE">
        <w:trPr>
          <w:cantSplit/>
          <w:tblHeader/>
        </w:trPr>
        <w:tc>
          <w:tcPr>
            <w:tcW w:w="405" w:type="pct"/>
            <w:tcBorders>
              <w:top w:val="single" w:sz="12" w:space="0" w:color="auto"/>
              <w:bottom w:val="single" w:sz="12" w:space="0" w:color="auto"/>
            </w:tcBorders>
            <w:vAlign w:val="center"/>
          </w:tcPr>
          <w:p w14:paraId="524144D9" w14:textId="4AA4A617" w:rsidR="00846088" w:rsidRPr="00C04005" w:rsidRDefault="00846088" w:rsidP="004672DA">
            <w:pPr>
              <w:pStyle w:val="TableHeading"/>
              <w:jc w:val="left"/>
              <w:rPr>
                <w:lang w:val="en-AU"/>
              </w:rPr>
            </w:pPr>
            <w:bookmarkStart w:id="47" w:name="_Hlk199773187"/>
            <w:r>
              <w:rPr>
                <w:lang w:val="en-AU"/>
              </w:rPr>
              <w:t>Taxonomic group</w:t>
            </w:r>
          </w:p>
        </w:tc>
        <w:tc>
          <w:tcPr>
            <w:tcW w:w="557" w:type="pct"/>
            <w:tcBorders>
              <w:top w:val="single" w:sz="12" w:space="0" w:color="auto"/>
              <w:bottom w:val="single" w:sz="12" w:space="0" w:color="auto"/>
            </w:tcBorders>
            <w:vAlign w:val="center"/>
          </w:tcPr>
          <w:p w14:paraId="2CFB0F4D" w14:textId="77777777" w:rsidR="00846088" w:rsidRPr="00C04005" w:rsidRDefault="00846088" w:rsidP="004672DA">
            <w:pPr>
              <w:pStyle w:val="TableHeading"/>
              <w:jc w:val="left"/>
              <w:rPr>
                <w:lang w:val="en-AU"/>
              </w:rPr>
            </w:pPr>
            <w:r w:rsidRPr="00C04005">
              <w:rPr>
                <w:lang w:val="en-AU"/>
              </w:rPr>
              <w:t>Species</w:t>
            </w:r>
          </w:p>
        </w:tc>
        <w:tc>
          <w:tcPr>
            <w:tcW w:w="455" w:type="pct"/>
            <w:tcBorders>
              <w:top w:val="single" w:sz="12" w:space="0" w:color="auto"/>
              <w:bottom w:val="single" w:sz="12" w:space="0" w:color="auto"/>
            </w:tcBorders>
            <w:vAlign w:val="center"/>
          </w:tcPr>
          <w:p w14:paraId="3686C7FA" w14:textId="77777777" w:rsidR="00846088" w:rsidRPr="00C04005" w:rsidRDefault="00846088" w:rsidP="004672DA">
            <w:pPr>
              <w:pStyle w:val="TableHeading"/>
              <w:jc w:val="left"/>
              <w:rPr>
                <w:lang w:val="en-AU"/>
              </w:rPr>
            </w:pPr>
            <w:r w:rsidRPr="00C04005">
              <w:rPr>
                <w:lang w:val="en-AU"/>
              </w:rPr>
              <w:t>Life stage</w:t>
            </w:r>
          </w:p>
        </w:tc>
        <w:tc>
          <w:tcPr>
            <w:tcW w:w="354" w:type="pct"/>
            <w:tcBorders>
              <w:top w:val="single" w:sz="12" w:space="0" w:color="auto"/>
              <w:bottom w:val="single" w:sz="12" w:space="0" w:color="auto"/>
            </w:tcBorders>
            <w:vAlign w:val="center"/>
          </w:tcPr>
          <w:p w14:paraId="6BB294D7" w14:textId="77777777" w:rsidR="00846088" w:rsidRPr="00C04005" w:rsidRDefault="00846088" w:rsidP="004672DA">
            <w:pPr>
              <w:pStyle w:val="TableHeading"/>
              <w:jc w:val="left"/>
              <w:rPr>
                <w:lang w:val="en-AU"/>
              </w:rPr>
            </w:pPr>
            <w:r w:rsidRPr="00C04005">
              <w:rPr>
                <w:lang w:val="en-AU"/>
              </w:rPr>
              <w:t>Exposure duration (days)</w:t>
            </w:r>
          </w:p>
        </w:tc>
        <w:tc>
          <w:tcPr>
            <w:tcW w:w="355" w:type="pct"/>
            <w:tcBorders>
              <w:top w:val="single" w:sz="12" w:space="0" w:color="auto"/>
              <w:bottom w:val="single" w:sz="12" w:space="0" w:color="auto"/>
            </w:tcBorders>
            <w:vAlign w:val="center"/>
          </w:tcPr>
          <w:p w14:paraId="3D04DFD6" w14:textId="77777777" w:rsidR="00846088" w:rsidRPr="00C04005" w:rsidRDefault="00846088" w:rsidP="004672DA">
            <w:pPr>
              <w:pStyle w:val="TableHeading"/>
              <w:jc w:val="left"/>
              <w:rPr>
                <w:lang w:val="en-AU"/>
              </w:rPr>
            </w:pPr>
            <w:r w:rsidRPr="00C04005">
              <w:rPr>
                <w:lang w:val="en-AU"/>
              </w:rPr>
              <w:t>Test type</w:t>
            </w:r>
          </w:p>
        </w:tc>
        <w:tc>
          <w:tcPr>
            <w:tcW w:w="556" w:type="pct"/>
            <w:tcBorders>
              <w:top w:val="single" w:sz="12" w:space="0" w:color="auto"/>
              <w:bottom w:val="single" w:sz="12" w:space="0" w:color="auto"/>
            </w:tcBorders>
            <w:vAlign w:val="center"/>
          </w:tcPr>
          <w:p w14:paraId="7F0BE596" w14:textId="28DD9702" w:rsidR="00846088" w:rsidRPr="00C04005" w:rsidRDefault="00846088" w:rsidP="004672DA">
            <w:pPr>
              <w:pStyle w:val="TableHeading"/>
              <w:jc w:val="left"/>
              <w:rPr>
                <w:lang w:val="en-AU"/>
              </w:rPr>
            </w:pPr>
            <w:r w:rsidRPr="00C04005">
              <w:rPr>
                <w:lang w:val="en-AU"/>
              </w:rPr>
              <w:t>Toxicity measure (test endpoint)</w:t>
            </w:r>
          </w:p>
        </w:tc>
        <w:tc>
          <w:tcPr>
            <w:tcW w:w="608" w:type="pct"/>
            <w:tcBorders>
              <w:top w:val="single" w:sz="12" w:space="0" w:color="auto"/>
              <w:bottom w:val="single" w:sz="12" w:space="0" w:color="auto"/>
            </w:tcBorders>
            <w:vAlign w:val="center"/>
          </w:tcPr>
          <w:p w14:paraId="0673AB53" w14:textId="77777777" w:rsidR="00846088" w:rsidRPr="00C04005" w:rsidRDefault="00846088" w:rsidP="004672DA">
            <w:pPr>
              <w:pStyle w:val="TableHeading"/>
              <w:jc w:val="left"/>
              <w:rPr>
                <w:lang w:val="en-AU"/>
              </w:rPr>
            </w:pPr>
            <w:r w:rsidRPr="00C04005">
              <w:rPr>
                <w:lang w:val="en-AU"/>
              </w:rPr>
              <w:t>Test medium</w:t>
            </w:r>
          </w:p>
        </w:tc>
        <w:tc>
          <w:tcPr>
            <w:tcW w:w="304" w:type="pct"/>
            <w:tcBorders>
              <w:top w:val="single" w:sz="12" w:space="0" w:color="auto"/>
              <w:bottom w:val="single" w:sz="12" w:space="0" w:color="auto"/>
            </w:tcBorders>
            <w:vAlign w:val="center"/>
          </w:tcPr>
          <w:p w14:paraId="1E803E22" w14:textId="77777777" w:rsidR="00846088" w:rsidRPr="00C04005" w:rsidRDefault="00846088" w:rsidP="004672DA">
            <w:pPr>
              <w:pStyle w:val="TableHeading"/>
              <w:jc w:val="left"/>
              <w:rPr>
                <w:lang w:val="en-AU"/>
              </w:rPr>
            </w:pPr>
            <w:r w:rsidRPr="00C04005">
              <w:rPr>
                <w:lang w:val="en-AU"/>
              </w:rPr>
              <w:t>Temp. (</w:t>
            </w:r>
            <w:r w:rsidRPr="00C04005">
              <w:rPr>
                <w:lang w:val="en-AU"/>
              </w:rPr>
              <w:sym w:font="Symbol" w:char="F0B0"/>
            </w:r>
            <w:r w:rsidRPr="00C04005">
              <w:rPr>
                <w:lang w:val="en-AU"/>
              </w:rPr>
              <w:t>C)</w:t>
            </w:r>
          </w:p>
        </w:tc>
        <w:tc>
          <w:tcPr>
            <w:tcW w:w="305" w:type="pct"/>
            <w:tcBorders>
              <w:top w:val="single" w:sz="12" w:space="0" w:color="auto"/>
              <w:bottom w:val="single" w:sz="12" w:space="0" w:color="auto"/>
            </w:tcBorders>
            <w:vAlign w:val="center"/>
          </w:tcPr>
          <w:p w14:paraId="38DC73EC" w14:textId="77777777" w:rsidR="00846088" w:rsidRPr="00C04005" w:rsidRDefault="00846088" w:rsidP="004672DA">
            <w:pPr>
              <w:pStyle w:val="TableHeading"/>
              <w:jc w:val="left"/>
              <w:rPr>
                <w:lang w:val="en-AU"/>
              </w:rPr>
            </w:pPr>
            <w:r w:rsidRPr="00C04005">
              <w:rPr>
                <w:lang w:val="en-AU"/>
              </w:rPr>
              <w:t>pH</w:t>
            </w:r>
          </w:p>
        </w:tc>
        <w:tc>
          <w:tcPr>
            <w:tcW w:w="510" w:type="pct"/>
            <w:tcBorders>
              <w:top w:val="single" w:sz="12" w:space="0" w:color="auto"/>
              <w:bottom w:val="single" w:sz="12" w:space="0" w:color="auto"/>
            </w:tcBorders>
            <w:vAlign w:val="center"/>
          </w:tcPr>
          <w:p w14:paraId="7C57E8D7" w14:textId="77777777" w:rsidR="00846088" w:rsidRPr="00C04005" w:rsidRDefault="00846088" w:rsidP="004672DA">
            <w:pPr>
              <w:pStyle w:val="TableHeading"/>
              <w:jc w:val="left"/>
              <w:rPr>
                <w:lang w:val="en-AU"/>
              </w:rPr>
            </w:pPr>
            <w:r w:rsidRPr="00C04005">
              <w:rPr>
                <w:lang w:val="en-AU"/>
              </w:rPr>
              <w:t>Concentration (µg/L)</w:t>
            </w:r>
          </w:p>
        </w:tc>
        <w:tc>
          <w:tcPr>
            <w:tcW w:w="591" w:type="pct"/>
            <w:tcBorders>
              <w:top w:val="single" w:sz="12" w:space="0" w:color="auto"/>
              <w:bottom w:val="single" w:sz="12" w:space="0" w:color="auto"/>
            </w:tcBorders>
            <w:vAlign w:val="center"/>
          </w:tcPr>
          <w:p w14:paraId="538C8494" w14:textId="77777777" w:rsidR="00846088" w:rsidRPr="00C04005" w:rsidRDefault="00846088" w:rsidP="004672DA">
            <w:pPr>
              <w:pStyle w:val="TableHeading"/>
              <w:jc w:val="left"/>
              <w:rPr>
                <w:lang w:val="en-AU"/>
              </w:rPr>
            </w:pPr>
            <w:r w:rsidRPr="00C04005">
              <w:rPr>
                <w:lang w:val="en-AU"/>
              </w:rPr>
              <w:t>Reference</w:t>
            </w:r>
          </w:p>
        </w:tc>
      </w:tr>
      <w:tr w:rsidR="002A64AF" w:rsidRPr="00A61E13" w14:paraId="0751382F" w14:textId="77777777" w:rsidTr="002A64AF">
        <w:trPr>
          <w:cnfStyle w:val="000000100000" w:firstRow="0" w:lastRow="0" w:firstColumn="0" w:lastColumn="0" w:oddVBand="0" w:evenVBand="0" w:oddHBand="1" w:evenHBand="0" w:firstRowFirstColumn="0" w:firstRowLastColumn="0" w:lastRowFirstColumn="0" w:lastRowLastColumn="0"/>
          <w:cantSplit/>
        </w:trPr>
        <w:tc>
          <w:tcPr>
            <w:tcW w:w="5000" w:type="pct"/>
            <w:gridSpan w:val="11"/>
            <w:tcBorders>
              <w:top w:val="single" w:sz="12" w:space="0" w:color="auto"/>
              <w:bottom w:val="single" w:sz="4" w:space="0" w:color="auto"/>
            </w:tcBorders>
            <w:shd w:val="clear" w:color="auto" w:fill="auto"/>
            <w:vAlign w:val="center"/>
          </w:tcPr>
          <w:p w14:paraId="4ABE7311" w14:textId="118D78E6" w:rsidR="002A64AF" w:rsidRPr="00C04005" w:rsidRDefault="002A64AF" w:rsidP="004672DA">
            <w:pPr>
              <w:pStyle w:val="TableHeading"/>
            </w:pPr>
            <w:r>
              <w:t>Freshwater</w:t>
            </w:r>
          </w:p>
        </w:tc>
      </w:tr>
      <w:tr w:rsidR="00CC08AE" w:rsidRPr="00A61E13" w14:paraId="7E29CD6D" w14:textId="77777777" w:rsidTr="00CC08AE">
        <w:trPr>
          <w:cantSplit/>
        </w:trPr>
        <w:tc>
          <w:tcPr>
            <w:tcW w:w="405" w:type="pct"/>
            <w:vMerge w:val="restart"/>
            <w:tcBorders>
              <w:top w:val="single" w:sz="4" w:space="0" w:color="auto"/>
            </w:tcBorders>
          </w:tcPr>
          <w:p w14:paraId="6D4450B3" w14:textId="07913B9C" w:rsidR="00846088" w:rsidRPr="00DE4E0B" w:rsidRDefault="00846088" w:rsidP="004672DA">
            <w:pPr>
              <w:pStyle w:val="TableText"/>
              <w:jc w:val="left"/>
              <w:rPr>
                <w:color w:val="000000"/>
              </w:rPr>
            </w:pPr>
            <w:r>
              <w:rPr>
                <w:color w:val="000000"/>
                <w:lang w:val="en-GB"/>
              </w:rPr>
              <w:t>Crustacean</w:t>
            </w:r>
          </w:p>
        </w:tc>
        <w:tc>
          <w:tcPr>
            <w:tcW w:w="557" w:type="pct"/>
            <w:vMerge w:val="restart"/>
            <w:tcBorders>
              <w:top w:val="single" w:sz="4" w:space="0" w:color="auto"/>
            </w:tcBorders>
          </w:tcPr>
          <w:p w14:paraId="70D8CC4D" w14:textId="0A259720" w:rsidR="00846088" w:rsidRPr="00DE4E0B" w:rsidRDefault="00846088" w:rsidP="004672DA">
            <w:pPr>
              <w:pStyle w:val="TableText"/>
              <w:jc w:val="left"/>
              <w:rPr>
                <w:iCs/>
                <w:color w:val="000000"/>
              </w:rPr>
            </w:pPr>
            <w:r w:rsidRPr="00DE4E0B">
              <w:rPr>
                <w:i/>
                <w:color w:val="000000"/>
                <w:lang w:val="en-GB"/>
              </w:rPr>
              <w:t>Ceriodaphnia dubia</w:t>
            </w:r>
          </w:p>
        </w:tc>
        <w:tc>
          <w:tcPr>
            <w:tcW w:w="455" w:type="pct"/>
            <w:tcBorders>
              <w:top w:val="single" w:sz="4" w:space="0" w:color="auto"/>
            </w:tcBorders>
          </w:tcPr>
          <w:p w14:paraId="482287C1" w14:textId="6DFF8412" w:rsidR="00846088" w:rsidRPr="00DE4E0B" w:rsidRDefault="00846088" w:rsidP="004672DA">
            <w:pPr>
              <w:pStyle w:val="TableText"/>
              <w:jc w:val="left"/>
              <w:rPr>
                <w:color w:val="000000"/>
              </w:rPr>
            </w:pPr>
            <w:r w:rsidRPr="00DE4E0B">
              <w:rPr>
                <w:color w:val="000000"/>
                <w:lang w:val="en-GB"/>
              </w:rPr>
              <w:t>&lt;24</w:t>
            </w:r>
            <w:r>
              <w:rPr>
                <w:color w:val="000000"/>
                <w:lang w:val="en-GB"/>
              </w:rPr>
              <w:t>-</w:t>
            </w:r>
            <w:r w:rsidRPr="00DE4E0B">
              <w:rPr>
                <w:color w:val="000000"/>
                <w:lang w:val="en-GB"/>
              </w:rPr>
              <w:t>h neonate</w:t>
            </w:r>
          </w:p>
        </w:tc>
        <w:tc>
          <w:tcPr>
            <w:tcW w:w="354" w:type="pct"/>
            <w:tcBorders>
              <w:top w:val="single" w:sz="4" w:space="0" w:color="auto"/>
            </w:tcBorders>
          </w:tcPr>
          <w:p w14:paraId="6FBED299" w14:textId="5EDF144E" w:rsidR="00846088" w:rsidRPr="00DE4E0B" w:rsidRDefault="00846088" w:rsidP="004672DA">
            <w:pPr>
              <w:pStyle w:val="TableText"/>
              <w:jc w:val="left"/>
              <w:rPr>
                <w:color w:val="000000"/>
              </w:rPr>
            </w:pPr>
            <w:r w:rsidRPr="00DE4E0B">
              <w:rPr>
                <w:color w:val="000000"/>
                <w:lang w:val="en-GB"/>
              </w:rPr>
              <w:t>8</w:t>
            </w:r>
          </w:p>
        </w:tc>
        <w:tc>
          <w:tcPr>
            <w:tcW w:w="355" w:type="pct"/>
            <w:tcBorders>
              <w:top w:val="single" w:sz="4" w:space="0" w:color="auto"/>
            </w:tcBorders>
          </w:tcPr>
          <w:p w14:paraId="06A22F79" w14:textId="76564708" w:rsidR="00846088" w:rsidRPr="00DE4E0B" w:rsidRDefault="00846088" w:rsidP="004672DA">
            <w:pPr>
              <w:pStyle w:val="TableText"/>
              <w:jc w:val="left"/>
              <w:rPr>
                <w:color w:val="000000"/>
              </w:rPr>
            </w:pPr>
            <w:r w:rsidRPr="00DE4E0B">
              <w:rPr>
                <w:color w:val="000000"/>
                <w:lang w:val="en-GB"/>
              </w:rPr>
              <w:t>Chronic</w:t>
            </w:r>
          </w:p>
        </w:tc>
        <w:tc>
          <w:tcPr>
            <w:tcW w:w="556" w:type="pct"/>
            <w:tcBorders>
              <w:top w:val="single" w:sz="4" w:space="0" w:color="auto"/>
            </w:tcBorders>
          </w:tcPr>
          <w:p w14:paraId="7A54DA93" w14:textId="336D1A8D" w:rsidR="00846088" w:rsidRPr="00C64456" w:rsidRDefault="00846088" w:rsidP="004672DA">
            <w:pPr>
              <w:pStyle w:val="TableText"/>
              <w:jc w:val="left"/>
              <w:rPr>
                <w:color w:val="000000"/>
                <w:lang w:val="en-GB"/>
              </w:rPr>
            </w:pPr>
            <w:r w:rsidRPr="00371F6C">
              <w:rPr>
                <w:color w:val="000000"/>
                <w:lang w:val="en-GB"/>
              </w:rPr>
              <w:t>LOEC</w:t>
            </w:r>
            <w:r>
              <w:rPr>
                <w:color w:val="000000"/>
                <w:lang w:val="en-GB"/>
              </w:rPr>
              <w:t xml:space="preserve"> </w:t>
            </w:r>
            <w:r w:rsidRPr="00C64456">
              <w:rPr>
                <w:rStyle w:val="Strong"/>
                <w:vertAlign w:val="superscript"/>
              </w:rPr>
              <w:t>a</w:t>
            </w:r>
          </w:p>
          <w:p w14:paraId="1703DA0D" w14:textId="00E347C9" w:rsidR="00846088" w:rsidRPr="00371F6C" w:rsidRDefault="00846088" w:rsidP="004672DA">
            <w:pPr>
              <w:pStyle w:val="TableText"/>
              <w:jc w:val="left"/>
              <w:rPr>
                <w:color w:val="000000"/>
              </w:rPr>
            </w:pPr>
            <w:r w:rsidRPr="00371F6C">
              <w:rPr>
                <w:color w:val="000000"/>
                <w:lang w:val="en-GB"/>
              </w:rPr>
              <w:t>(</w:t>
            </w:r>
            <w:r>
              <w:rPr>
                <w:color w:val="000000"/>
                <w:lang w:val="en-GB"/>
              </w:rPr>
              <w:t>Fecundity</w:t>
            </w:r>
            <w:r w:rsidRPr="00371F6C">
              <w:rPr>
                <w:color w:val="000000"/>
                <w:lang w:val="en-GB"/>
              </w:rPr>
              <w:t>)</w:t>
            </w:r>
          </w:p>
        </w:tc>
        <w:tc>
          <w:tcPr>
            <w:tcW w:w="608" w:type="pct"/>
            <w:tcBorders>
              <w:top w:val="single" w:sz="4" w:space="0" w:color="auto"/>
            </w:tcBorders>
          </w:tcPr>
          <w:p w14:paraId="09D0D4D5" w14:textId="361DBD31" w:rsidR="00846088" w:rsidRPr="00371F6C" w:rsidRDefault="00846088" w:rsidP="004672DA">
            <w:pPr>
              <w:pStyle w:val="TableText"/>
              <w:jc w:val="left"/>
              <w:rPr>
                <w:color w:val="000000"/>
              </w:rPr>
            </w:pPr>
            <w:r w:rsidRPr="00371F6C">
              <w:rPr>
                <w:color w:val="000000"/>
                <w:lang w:val="en-GB"/>
              </w:rPr>
              <w:t>Moderately hard water</w:t>
            </w:r>
          </w:p>
        </w:tc>
        <w:tc>
          <w:tcPr>
            <w:tcW w:w="304" w:type="pct"/>
            <w:tcBorders>
              <w:top w:val="single" w:sz="4" w:space="0" w:color="auto"/>
            </w:tcBorders>
          </w:tcPr>
          <w:p w14:paraId="2B819405" w14:textId="2167273F" w:rsidR="00846088" w:rsidRPr="00371F6C" w:rsidRDefault="00846088" w:rsidP="004672DA">
            <w:pPr>
              <w:pStyle w:val="TableText"/>
              <w:jc w:val="left"/>
              <w:rPr>
                <w:color w:val="000000"/>
              </w:rPr>
            </w:pPr>
            <w:r w:rsidRPr="00371F6C">
              <w:rPr>
                <w:color w:val="000000"/>
                <w:lang w:val="en-GB"/>
              </w:rPr>
              <w:t>20</w:t>
            </w:r>
            <w:r>
              <w:rPr>
                <w:color w:val="000000"/>
                <w:lang w:val="en-GB"/>
              </w:rPr>
              <w:t>–</w:t>
            </w:r>
            <w:r w:rsidRPr="00371F6C">
              <w:rPr>
                <w:color w:val="000000"/>
                <w:lang w:val="en-GB"/>
              </w:rPr>
              <w:t>25</w:t>
            </w:r>
          </w:p>
        </w:tc>
        <w:tc>
          <w:tcPr>
            <w:tcW w:w="305" w:type="pct"/>
            <w:tcBorders>
              <w:top w:val="single" w:sz="4" w:space="0" w:color="auto"/>
            </w:tcBorders>
          </w:tcPr>
          <w:p w14:paraId="251856D7" w14:textId="3751C86E" w:rsidR="00846088" w:rsidRPr="00371F6C" w:rsidRDefault="00846088" w:rsidP="004672DA">
            <w:pPr>
              <w:pStyle w:val="TableText"/>
              <w:jc w:val="left"/>
              <w:rPr>
                <w:color w:val="000000"/>
              </w:rPr>
            </w:pPr>
            <w:r w:rsidRPr="00371F6C">
              <w:rPr>
                <w:color w:val="000000"/>
                <w:lang w:val="en-GB"/>
              </w:rPr>
              <w:t>7.5</w:t>
            </w:r>
            <w:r>
              <w:rPr>
                <w:color w:val="000000"/>
                <w:lang w:val="en-GB"/>
              </w:rPr>
              <w:t>–</w:t>
            </w:r>
            <w:r w:rsidRPr="00371F6C">
              <w:rPr>
                <w:color w:val="000000"/>
                <w:lang w:val="en-GB"/>
              </w:rPr>
              <w:t>8.3</w:t>
            </w:r>
          </w:p>
        </w:tc>
        <w:tc>
          <w:tcPr>
            <w:tcW w:w="510" w:type="pct"/>
            <w:tcBorders>
              <w:top w:val="single" w:sz="4" w:space="0" w:color="auto"/>
            </w:tcBorders>
          </w:tcPr>
          <w:p w14:paraId="31C83379" w14:textId="065087C3" w:rsidR="00846088" w:rsidRPr="00371F6C" w:rsidRDefault="00846088" w:rsidP="004672DA">
            <w:pPr>
              <w:pStyle w:val="TableText"/>
              <w:jc w:val="left"/>
              <w:rPr>
                <w:color w:val="000000"/>
              </w:rPr>
            </w:pPr>
            <w:r w:rsidRPr="00371F6C">
              <w:rPr>
                <w:color w:val="000000"/>
                <w:lang w:val="en-GB"/>
              </w:rPr>
              <w:t>2</w:t>
            </w:r>
          </w:p>
        </w:tc>
        <w:tc>
          <w:tcPr>
            <w:tcW w:w="591" w:type="pct"/>
            <w:tcBorders>
              <w:top w:val="single" w:sz="4" w:space="0" w:color="auto"/>
            </w:tcBorders>
          </w:tcPr>
          <w:p w14:paraId="686B79BA" w14:textId="7DE1E444" w:rsidR="00846088" w:rsidRPr="00371F6C" w:rsidRDefault="00846088" w:rsidP="004672DA">
            <w:pPr>
              <w:pStyle w:val="TableText"/>
              <w:jc w:val="left"/>
              <w:rPr>
                <w:color w:val="000000"/>
              </w:rPr>
            </w:pPr>
            <w:r w:rsidRPr="00371F6C">
              <w:rPr>
                <w:lang w:val="en-GB"/>
              </w:rPr>
              <w:t>Wilson et al. (2008)</w:t>
            </w:r>
          </w:p>
        </w:tc>
      </w:tr>
      <w:tr w:rsidR="00CC08AE" w:rsidRPr="00A61E13" w14:paraId="704D46C8"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tcBorders>
              <w:bottom w:val="nil"/>
            </w:tcBorders>
            <w:shd w:val="clear" w:color="auto" w:fill="auto"/>
          </w:tcPr>
          <w:p w14:paraId="411EEFB2" w14:textId="77777777" w:rsidR="00846088" w:rsidRPr="00DE4E0B" w:rsidRDefault="00846088" w:rsidP="004672DA">
            <w:pPr>
              <w:pStyle w:val="TableText"/>
              <w:jc w:val="left"/>
              <w:rPr>
                <w:color w:val="000000"/>
                <w:lang w:val="en-GB"/>
              </w:rPr>
            </w:pPr>
          </w:p>
        </w:tc>
        <w:tc>
          <w:tcPr>
            <w:tcW w:w="557" w:type="pct"/>
            <w:vMerge/>
            <w:tcBorders>
              <w:bottom w:val="nil"/>
            </w:tcBorders>
            <w:shd w:val="clear" w:color="auto" w:fill="auto"/>
          </w:tcPr>
          <w:p w14:paraId="5ADE63EB" w14:textId="77777777" w:rsidR="00846088" w:rsidRPr="00DE4E0B" w:rsidRDefault="00846088" w:rsidP="004672DA">
            <w:pPr>
              <w:pStyle w:val="TableText"/>
              <w:jc w:val="left"/>
              <w:rPr>
                <w:i/>
                <w:color w:val="000000"/>
                <w:lang w:val="en-GB"/>
              </w:rPr>
            </w:pPr>
          </w:p>
        </w:tc>
        <w:tc>
          <w:tcPr>
            <w:tcW w:w="455" w:type="pct"/>
            <w:tcBorders>
              <w:bottom w:val="nil"/>
            </w:tcBorders>
            <w:shd w:val="clear" w:color="auto" w:fill="auto"/>
          </w:tcPr>
          <w:p w14:paraId="20AC0990" w14:textId="7BA050E3" w:rsidR="00846088" w:rsidRPr="00DE4E0B" w:rsidRDefault="00846088" w:rsidP="004672DA">
            <w:pPr>
              <w:pStyle w:val="TableText"/>
              <w:jc w:val="left"/>
              <w:rPr>
                <w:color w:val="000000"/>
                <w:lang w:val="en-GB"/>
              </w:rPr>
            </w:pPr>
            <w:r w:rsidRPr="00DE4E0B">
              <w:rPr>
                <w:color w:val="000000"/>
                <w:lang w:val="en-GB"/>
              </w:rPr>
              <w:t>&lt;24-h neonate</w:t>
            </w:r>
          </w:p>
        </w:tc>
        <w:tc>
          <w:tcPr>
            <w:tcW w:w="354" w:type="pct"/>
            <w:tcBorders>
              <w:bottom w:val="nil"/>
            </w:tcBorders>
            <w:shd w:val="clear" w:color="auto" w:fill="auto"/>
          </w:tcPr>
          <w:p w14:paraId="02F78EF7" w14:textId="51E49B57" w:rsidR="00846088" w:rsidRPr="00DE4E0B" w:rsidRDefault="00846088" w:rsidP="004672DA">
            <w:pPr>
              <w:pStyle w:val="TableText"/>
              <w:jc w:val="left"/>
              <w:rPr>
                <w:color w:val="000000"/>
                <w:lang w:val="en-GB"/>
              </w:rPr>
            </w:pPr>
            <w:r w:rsidRPr="00DE4E0B">
              <w:rPr>
                <w:color w:val="000000"/>
                <w:lang w:val="en-GB"/>
              </w:rPr>
              <w:t>8</w:t>
            </w:r>
          </w:p>
        </w:tc>
        <w:tc>
          <w:tcPr>
            <w:tcW w:w="355" w:type="pct"/>
            <w:tcBorders>
              <w:bottom w:val="nil"/>
            </w:tcBorders>
            <w:shd w:val="clear" w:color="auto" w:fill="auto"/>
          </w:tcPr>
          <w:p w14:paraId="6E344F4D" w14:textId="26BE63D1" w:rsidR="00846088" w:rsidRPr="00DE4E0B" w:rsidRDefault="00846088" w:rsidP="004672DA">
            <w:pPr>
              <w:pStyle w:val="TableText"/>
              <w:jc w:val="left"/>
              <w:rPr>
                <w:color w:val="000000"/>
                <w:lang w:val="en-GB"/>
              </w:rPr>
            </w:pPr>
            <w:r w:rsidRPr="00DE4E0B">
              <w:rPr>
                <w:color w:val="000000"/>
                <w:lang w:val="en-GB"/>
              </w:rPr>
              <w:t>Chronic</w:t>
            </w:r>
          </w:p>
        </w:tc>
        <w:tc>
          <w:tcPr>
            <w:tcW w:w="556" w:type="pct"/>
            <w:tcBorders>
              <w:bottom w:val="nil"/>
            </w:tcBorders>
            <w:shd w:val="clear" w:color="auto" w:fill="auto"/>
          </w:tcPr>
          <w:p w14:paraId="10234FC3" w14:textId="504C011C" w:rsidR="00846088" w:rsidRPr="00C64456" w:rsidRDefault="00846088" w:rsidP="004672DA">
            <w:pPr>
              <w:pStyle w:val="TableText"/>
              <w:jc w:val="left"/>
              <w:rPr>
                <w:color w:val="000000"/>
                <w:lang w:val="en-GB"/>
              </w:rPr>
            </w:pPr>
            <w:r w:rsidRPr="00371F6C">
              <w:rPr>
                <w:color w:val="000000"/>
                <w:lang w:val="en-GB"/>
              </w:rPr>
              <w:t>LOEC</w:t>
            </w:r>
            <w:r>
              <w:rPr>
                <w:color w:val="000000"/>
                <w:lang w:val="en-GB"/>
              </w:rPr>
              <w:t xml:space="preserve"> </w:t>
            </w:r>
            <w:r w:rsidRPr="00C64456">
              <w:rPr>
                <w:rStyle w:val="Strong"/>
                <w:vertAlign w:val="superscript"/>
              </w:rPr>
              <w:t>a</w:t>
            </w:r>
          </w:p>
          <w:p w14:paraId="67D3384E" w14:textId="35B799D9" w:rsidR="00846088" w:rsidRPr="00371F6C" w:rsidRDefault="00846088" w:rsidP="004672DA">
            <w:pPr>
              <w:pStyle w:val="TableText"/>
              <w:jc w:val="left"/>
              <w:rPr>
                <w:color w:val="000000"/>
                <w:lang w:val="en-GB"/>
              </w:rPr>
            </w:pPr>
            <w:r w:rsidRPr="00371F6C">
              <w:rPr>
                <w:color w:val="000000"/>
                <w:lang w:val="en-GB"/>
              </w:rPr>
              <w:t>(</w:t>
            </w:r>
            <w:r>
              <w:rPr>
                <w:color w:val="000000"/>
                <w:lang w:val="en-GB"/>
              </w:rPr>
              <w:t>Brood size</w:t>
            </w:r>
            <w:r w:rsidRPr="00371F6C">
              <w:rPr>
                <w:color w:val="000000"/>
                <w:lang w:val="en-GB"/>
              </w:rPr>
              <w:t>)</w:t>
            </w:r>
          </w:p>
        </w:tc>
        <w:tc>
          <w:tcPr>
            <w:tcW w:w="608" w:type="pct"/>
            <w:tcBorders>
              <w:bottom w:val="nil"/>
            </w:tcBorders>
            <w:shd w:val="clear" w:color="auto" w:fill="auto"/>
          </w:tcPr>
          <w:p w14:paraId="2D23F881" w14:textId="464D1A53" w:rsidR="00846088" w:rsidRPr="00371F6C" w:rsidRDefault="00846088" w:rsidP="004672DA">
            <w:pPr>
              <w:pStyle w:val="TableText"/>
              <w:jc w:val="left"/>
              <w:rPr>
                <w:color w:val="000000"/>
                <w:lang w:val="en-GB"/>
              </w:rPr>
            </w:pPr>
            <w:r w:rsidRPr="00371F6C">
              <w:rPr>
                <w:color w:val="000000"/>
                <w:lang w:val="en-GB"/>
              </w:rPr>
              <w:t>Moderately hard water</w:t>
            </w:r>
          </w:p>
        </w:tc>
        <w:tc>
          <w:tcPr>
            <w:tcW w:w="304" w:type="pct"/>
            <w:tcBorders>
              <w:bottom w:val="nil"/>
            </w:tcBorders>
            <w:shd w:val="clear" w:color="auto" w:fill="auto"/>
          </w:tcPr>
          <w:p w14:paraId="5801437B" w14:textId="574C9346" w:rsidR="00846088" w:rsidRPr="00371F6C" w:rsidRDefault="00846088" w:rsidP="004672DA">
            <w:pPr>
              <w:pStyle w:val="TableText"/>
              <w:jc w:val="left"/>
              <w:rPr>
                <w:color w:val="000000"/>
                <w:lang w:val="en-GB"/>
              </w:rPr>
            </w:pPr>
            <w:r w:rsidRPr="00371F6C">
              <w:rPr>
                <w:color w:val="000000"/>
                <w:lang w:val="en-GB"/>
              </w:rPr>
              <w:t>20</w:t>
            </w:r>
            <w:r>
              <w:rPr>
                <w:color w:val="000000"/>
                <w:lang w:val="en-GB"/>
              </w:rPr>
              <w:t>–</w:t>
            </w:r>
            <w:r w:rsidRPr="00371F6C">
              <w:rPr>
                <w:color w:val="000000"/>
                <w:lang w:val="en-GB"/>
              </w:rPr>
              <w:t>25</w:t>
            </w:r>
          </w:p>
        </w:tc>
        <w:tc>
          <w:tcPr>
            <w:tcW w:w="305" w:type="pct"/>
            <w:tcBorders>
              <w:bottom w:val="nil"/>
            </w:tcBorders>
            <w:shd w:val="clear" w:color="auto" w:fill="auto"/>
          </w:tcPr>
          <w:p w14:paraId="43869EA0" w14:textId="2AAF0867" w:rsidR="00846088" w:rsidRPr="00371F6C" w:rsidRDefault="00846088" w:rsidP="004672DA">
            <w:pPr>
              <w:pStyle w:val="TableText"/>
              <w:jc w:val="left"/>
              <w:rPr>
                <w:color w:val="000000"/>
                <w:lang w:val="en-GB"/>
              </w:rPr>
            </w:pPr>
            <w:r w:rsidRPr="00371F6C">
              <w:rPr>
                <w:color w:val="000000"/>
                <w:lang w:val="en-GB"/>
              </w:rPr>
              <w:t>7.5</w:t>
            </w:r>
            <w:r>
              <w:rPr>
                <w:color w:val="000000"/>
                <w:lang w:val="en-GB"/>
              </w:rPr>
              <w:t>–</w:t>
            </w:r>
            <w:r w:rsidRPr="00371F6C">
              <w:rPr>
                <w:color w:val="000000"/>
                <w:lang w:val="en-GB"/>
              </w:rPr>
              <w:t>8.3</w:t>
            </w:r>
          </w:p>
        </w:tc>
        <w:tc>
          <w:tcPr>
            <w:tcW w:w="510" w:type="pct"/>
            <w:shd w:val="clear" w:color="auto" w:fill="auto"/>
          </w:tcPr>
          <w:p w14:paraId="1E802AE8" w14:textId="612949C0" w:rsidR="00846088" w:rsidRPr="00371F6C" w:rsidRDefault="00846088" w:rsidP="004672DA">
            <w:pPr>
              <w:pStyle w:val="TableText"/>
              <w:jc w:val="left"/>
              <w:rPr>
                <w:color w:val="000000"/>
                <w:lang w:val="en-GB"/>
              </w:rPr>
            </w:pPr>
            <w:r w:rsidRPr="00371F6C">
              <w:rPr>
                <w:color w:val="000000"/>
                <w:lang w:val="en-GB"/>
              </w:rPr>
              <w:t>2</w:t>
            </w:r>
          </w:p>
        </w:tc>
        <w:tc>
          <w:tcPr>
            <w:tcW w:w="591" w:type="pct"/>
            <w:shd w:val="clear" w:color="auto" w:fill="auto"/>
          </w:tcPr>
          <w:p w14:paraId="35FAC466" w14:textId="3EB46FD0" w:rsidR="00846088" w:rsidRPr="00371F6C" w:rsidRDefault="00846088" w:rsidP="004672DA">
            <w:pPr>
              <w:pStyle w:val="TableText"/>
              <w:jc w:val="left"/>
              <w:rPr>
                <w:lang w:val="en-GB"/>
              </w:rPr>
            </w:pPr>
            <w:r w:rsidRPr="00371F6C">
              <w:rPr>
                <w:lang w:val="en-GB"/>
              </w:rPr>
              <w:t>Wilson et al. (2008)</w:t>
            </w:r>
          </w:p>
        </w:tc>
      </w:tr>
      <w:tr w:rsidR="004E75FD" w:rsidRPr="00A61E13" w14:paraId="6FC9E099" w14:textId="77777777" w:rsidTr="00CC08AE">
        <w:trPr>
          <w:cantSplit/>
        </w:trPr>
        <w:tc>
          <w:tcPr>
            <w:tcW w:w="3899" w:type="pct"/>
            <w:gridSpan w:val="9"/>
            <w:tcBorders>
              <w:top w:val="nil"/>
            </w:tcBorders>
          </w:tcPr>
          <w:p w14:paraId="2EAE4F51" w14:textId="5F0F8200" w:rsidR="004E75FD" w:rsidRPr="00DE4E0B" w:rsidRDefault="004E75FD" w:rsidP="004672DA">
            <w:pPr>
              <w:pStyle w:val="TableText"/>
              <w:jc w:val="left"/>
              <w:rPr>
                <w:color w:val="000000"/>
              </w:rPr>
            </w:pPr>
            <w:r>
              <w:rPr>
                <w:color w:val="000000"/>
              </w:rPr>
              <w:t>–</w:t>
            </w:r>
          </w:p>
        </w:tc>
        <w:tc>
          <w:tcPr>
            <w:tcW w:w="510" w:type="pct"/>
          </w:tcPr>
          <w:p w14:paraId="7025AEC3" w14:textId="123CEED1" w:rsidR="004E75FD" w:rsidRPr="00DE4E0B" w:rsidRDefault="004E75FD" w:rsidP="004672DA">
            <w:pPr>
              <w:pStyle w:val="TableText"/>
              <w:jc w:val="left"/>
              <w:rPr>
                <w:color w:val="000000"/>
              </w:rPr>
            </w:pPr>
            <w:r w:rsidRPr="0009022B">
              <w:rPr>
                <w:b/>
                <w:bCs/>
                <w:color w:val="000000"/>
                <w:lang w:val="en-GB"/>
              </w:rPr>
              <w:t>0.8</w:t>
            </w:r>
            <w:r>
              <w:rPr>
                <w:color w:val="000000"/>
                <w:lang w:val="en-GB"/>
              </w:rPr>
              <w:t xml:space="preserve"> </w:t>
            </w:r>
            <w:r w:rsidRPr="00C64456">
              <w:rPr>
                <w:rStyle w:val="Strong"/>
                <w:vertAlign w:val="superscript"/>
              </w:rPr>
              <w:t>b</w:t>
            </w:r>
          </w:p>
        </w:tc>
        <w:tc>
          <w:tcPr>
            <w:tcW w:w="591" w:type="pct"/>
          </w:tcPr>
          <w:p w14:paraId="70AE74F5" w14:textId="1BDC60A6" w:rsidR="004E75FD" w:rsidRPr="0009022B" w:rsidRDefault="004E75FD" w:rsidP="004672DA">
            <w:pPr>
              <w:pStyle w:val="TableText"/>
              <w:jc w:val="left"/>
              <w:rPr>
                <w:b/>
                <w:bCs/>
                <w:iCs/>
                <w:color w:val="000000"/>
              </w:rPr>
            </w:pPr>
            <w:r w:rsidRPr="0009022B">
              <w:rPr>
                <w:b/>
                <w:bCs/>
                <w:iCs/>
                <w:color w:val="000000"/>
                <w:lang w:val="en-GB"/>
              </w:rPr>
              <w:t>Value used in SSD</w:t>
            </w:r>
          </w:p>
        </w:tc>
      </w:tr>
      <w:tr w:rsidR="00CC08AE" w:rsidRPr="00A61E13" w14:paraId="26EF317D"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3B837290" w14:textId="74CDE1A4" w:rsidR="00846088" w:rsidRPr="00DE4E0B" w:rsidRDefault="00846088" w:rsidP="004672DA">
            <w:pPr>
              <w:pStyle w:val="TableText"/>
              <w:jc w:val="left"/>
              <w:rPr>
                <w:color w:val="000000"/>
              </w:rPr>
            </w:pPr>
            <w:r>
              <w:rPr>
                <w:color w:val="000000"/>
                <w:lang w:val="en-GB"/>
              </w:rPr>
              <w:t xml:space="preserve">Crustacean </w:t>
            </w:r>
          </w:p>
        </w:tc>
        <w:tc>
          <w:tcPr>
            <w:tcW w:w="557" w:type="pct"/>
            <w:tcBorders>
              <w:bottom w:val="nil"/>
            </w:tcBorders>
            <w:shd w:val="clear" w:color="auto" w:fill="auto"/>
          </w:tcPr>
          <w:p w14:paraId="3CCEC3FF" w14:textId="51FDB275" w:rsidR="00846088" w:rsidRPr="00DE4E0B" w:rsidRDefault="00846088" w:rsidP="004672DA">
            <w:pPr>
              <w:pStyle w:val="TableText"/>
              <w:jc w:val="left"/>
              <w:rPr>
                <w:color w:val="000000"/>
              </w:rPr>
            </w:pPr>
            <w:r w:rsidRPr="00DE4E0B">
              <w:rPr>
                <w:i/>
                <w:color w:val="000000"/>
                <w:lang w:val="en-GB"/>
              </w:rPr>
              <w:t>Daphnia magna</w:t>
            </w:r>
          </w:p>
        </w:tc>
        <w:tc>
          <w:tcPr>
            <w:tcW w:w="455" w:type="pct"/>
            <w:tcBorders>
              <w:bottom w:val="nil"/>
            </w:tcBorders>
            <w:shd w:val="clear" w:color="auto" w:fill="auto"/>
          </w:tcPr>
          <w:p w14:paraId="6341E4A0" w14:textId="244A9405" w:rsidR="00846088" w:rsidRPr="00DE4E0B" w:rsidRDefault="00846088" w:rsidP="004672DA">
            <w:pPr>
              <w:pStyle w:val="TableText"/>
              <w:jc w:val="left"/>
              <w:rPr>
                <w:color w:val="000000"/>
              </w:rPr>
            </w:pPr>
            <w:r>
              <w:rPr>
                <w:color w:val="000000"/>
                <w:lang w:val="en-GB"/>
              </w:rPr>
              <w:t>Neonate</w:t>
            </w:r>
          </w:p>
        </w:tc>
        <w:tc>
          <w:tcPr>
            <w:tcW w:w="354" w:type="pct"/>
            <w:tcBorders>
              <w:bottom w:val="nil"/>
            </w:tcBorders>
            <w:shd w:val="clear" w:color="auto" w:fill="auto"/>
          </w:tcPr>
          <w:p w14:paraId="71ECC9E7" w14:textId="70544F17" w:rsidR="00846088" w:rsidRPr="00DE4E0B" w:rsidRDefault="00846088" w:rsidP="004672DA">
            <w:pPr>
              <w:pStyle w:val="TableText"/>
              <w:jc w:val="left"/>
              <w:rPr>
                <w:color w:val="000000"/>
              </w:rPr>
            </w:pPr>
            <w:r w:rsidRPr="00DE4E0B">
              <w:rPr>
                <w:color w:val="000000"/>
                <w:lang w:val="en-GB"/>
              </w:rPr>
              <w:t>21</w:t>
            </w:r>
          </w:p>
        </w:tc>
        <w:tc>
          <w:tcPr>
            <w:tcW w:w="355" w:type="pct"/>
            <w:tcBorders>
              <w:bottom w:val="nil"/>
            </w:tcBorders>
            <w:shd w:val="clear" w:color="auto" w:fill="auto"/>
          </w:tcPr>
          <w:p w14:paraId="240AA5D2" w14:textId="20B75C1F" w:rsidR="00846088" w:rsidRPr="00DE4E0B" w:rsidRDefault="00846088" w:rsidP="004672DA">
            <w:pPr>
              <w:pStyle w:val="TableText"/>
              <w:jc w:val="left"/>
              <w:rPr>
                <w:color w:val="000000"/>
              </w:rPr>
            </w:pPr>
            <w:r w:rsidRPr="00DE4E0B">
              <w:rPr>
                <w:color w:val="000000"/>
                <w:lang w:val="en-GB"/>
              </w:rPr>
              <w:t>Chronic</w:t>
            </w:r>
          </w:p>
        </w:tc>
        <w:tc>
          <w:tcPr>
            <w:tcW w:w="556" w:type="pct"/>
            <w:tcBorders>
              <w:bottom w:val="nil"/>
            </w:tcBorders>
            <w:shd w:val="clear" w:color="auto" w:fill="auto"/>
          </w:tcPr>
          <w:p w14:paraId="023AC162" w14:textId="7D470614" w:rsidR="00846088" w:rsidRDefault="00846088" w:rsidP="004672DA">
            <w:pPr>
              <w:pStyle w:val="TableText"/>
              <w:jc w:val="left"/>
              <w:rPr>
                <w:color w:val="000000"/>
                <w:lang w:val="en-GB"/>
              </w:rPr>
            </w:pPr>
            <w:r w:rsidRPr="00DE4E0B">
              <w:rPr>
                <w:color w:val="000000"/>
                <w:lang w:val="en-GB"/>
              </w:rPr>
              <w:t>NOE</w:t>
            </w:r>
            <w:r w:rsidR="00C81AD7">
              <w:rPr>
                <w:color w:val="000000"/>
                <w:lang w:val="en-GB"/>
              </w:rPr>
              <w:t>L</w:t>
            </w:r>
          </w:p>
          <w:p w14:paraId="4788295A" w14:textId="23198CE4" w:rsidR="00846088" w:rsidRPr="00DE4E0B" w:rsidRDefault="00846088" w:rsidP="004672DA">
            <w:pPr>
              <w:pStyle w:val="TableText"/>
              <w:jc w:val="left"/>
              <w:rPr>
                <w:color w:val="000000"/>
              </w:rPr>
            </w:pPr>
            <w:r w:rsidRPr="00DE4E0B">
              <w:rPr>
                <w:color w:val="000000"/>
                <w:lang w:val="en-GB"/>
              </w:rPr>
              <w:t>(</w:t>
            </w:r>
            <w:r>
              <w:rPr>
                <w:color w:val="000000"/>
                <w:lang w:val="en-GB"/>
              </w:rPr>
              <w:t>Growth</w:t>
            </w:r>
            <w:r w:rsidRPr="00DE4E0B">
              <w:rPr>
                <w:color w:val="000000"/>
                <w:lang w:val="en-GB"/>
              </w:rPr>
              <w:t>)</w:t>
            </w:r>
          </w:p>
        </w:tc>
        <w:tc>
          <w:tcPr>
            <w:tcW w:w="608" w:type="pct"/>
            <w:tcBorders>
              <w:bottom w:val="nil"/>
            </w:tcBorders>
            <w:shd w:val="clear" w:color="auto" w:fill="auto"/>
          </w:tcPr>
          <w:p w14:paraId="4DA74726" w14:textId="11E949AD" w:rsidR="00846088" w:rsidRPr="00DE4E0B" w:rsidRDefault="00846088" w:rsidP="004672DA">
            <w:pPr>
              <w:pStyle w:val="TableText"/>
              <w:jc w:val="left"/>
              <w:rPr>
                <w:color w:val="000000"/>
              </w:rPr>
            </w:pPr>
            <w:r>
              <w:rPr>
                <w:color w:val="000000"/>
                <w:lang w:val="en-GB"/>
              </w:rPr>
              <w:t>Fresh, flow-through laboratory water</w:t>
            </w:r>
          </w:p>
        </w:tc>
        <w:tc>
          <w:tcPr>
            <w:tcW w:w="304" w:type="pct"/>
            <w:tcBorders>
              <w:bottom w:val="nil"/>
            </w:tcBorders>
            <w:shd w:val="clear" w:color="auto" w:fill="auto"/>
          </w:tcPr>
          <w:p w14:paraId="25615466" w14:textId="578BABBD" w:rsidR="00846088" w:rsidRPr="00DE4E0B" w:rsidRDefault="00846088" w:rsidP="004672DA">
            <w:pPr>
              <w:pStyle w:val="TableText"/>
              <w:jc w:val="left"/>
              <w:rPr>
                <w:color w:val="000000"/>
              </w:rPr>
            </w:pPr>
            <w:r w:rsidRPr="00DE4E0B">
              <w:rPr>
                <w:color w:val="000000"/>
                <w:lang w:val="en-GB"/>
              </w:rPr>
              <w:t>20 ± 1</w:t>
            </w:r>
          </w:p>
        </w:tc>
        <w:tc>
          <w:tcPr>
            <w:tcW w:w="305" w:type="pct"/>
            <w:tcBorders>
              <w:bottom w:val="nil"/>
            </w:tcBorders>
            <w:shd w:val="clear" w:color="auto" w:fill="auto"/>
          </w:tcPr>
          <w:p w14:paraId="21EF8D7F" w14:textId="0CB41483" w:rsidR="00846088" w:rsidRPr="00DE4E0B" w:rsidRDefault="00846088" w:rsidP="004672DA">
            <w:pPr>
              <w:pStyle w:val="TableText"/>
              <w:jc w:val="left"/>
              <w:rPr>
                <w:color w:val="000000"/>
              </w:rPr>
            </w:pPr>
            <w:r>
              <w:rPr>
                <w:color w:val="000000"/>
                <w:lang w:val="en-GB"/>
              </w:rPr>
              <w:t>–</w:t>
            </w:r>
          </w:p>
        </w:tc>
        <w:tc>
          <w:tcPr>
            <w:tcW w:w="510" w:type="pct"/>
            <w:shd w:val="clear" w:color="auto" w:fill="auto"/>
          </w:tcPr>
          <w:p w14:paraId="7E13FCB4" w14:textId="10F20324" w:rsidR="00846088" w:rsidRPr="00DE4E0B" w:rsidRDefault="00846088" w:rsidP="004672DA">
            <w:pPr>
              <w:pStyle w:val="TableText"/>
              <w:jc w:val="left"/>
              <w:rPr>
                <w:color w:val="000000"/>
              </w:rPr>
            </w:pPr>
            <w:r w:rsidRPr="00DE4E0B">
              <w:rPr>
                <w:color w:val="000000"/>
                <w:lang w:val="en-GB"/>
              </w:rPr>
              <w:t>9.6</w:t>
            </w:r>
          </w:p>
        </w:tc>
        <w:tc>
          <w:tcPr>
            <w:tcW w:w="591" w:type="pct"/>
            <w:shd w:val="clear" w:color="auto" w:fill="auto"/>
          </w:tcPr>
          <w:p w14:paraId="5FD26EBD" w14:textId="3A66E20E" w:rsidR="00846088" w:rsidRPr="00DE4E0B" w:rsidRDefault="00846088" w:rsidP="004672DA">
            <w:pPr>
              <w:pStyle w:val="TableText"/>
              <w:jc w:val="left"/>
              <w:rPr>
                <w:color w:val="000000"/>
              </w:rPr>
            </w:pPr>
            <w:r w:rsidRPr="00DE4E0B">
              <w:rPr>
                <w:color w:val="000000"/>
                <w:lang w:val="en-GB"/>
              </w:rPr>
              <w:t>USEPA (2015)</w:t>
            </w:r>
          </w:p>
        </w:tc>
      </w:tr>
      <w:tr w:rsidR="00184B0C" w:rsidRPr="00A61E13" w14:paraId="32DEEC82" w14:textId="1B013F87" w:rsidTr="00CC08AE">
        <w:trPr>
          <w:cantSplit/>
        </w:trPr>
        <w:tc>
          <w:tcPr>
            <w:tcW w:w="3899" w:type="pct"/>
            <w:gridSpan w:val="9"/>
            <w:tcBorders>
              <w:top w:val="nil"/>
            </w:tcBorders>
          </w:tcPr>
          <w:p w14:paraId="36FBBD79" w14:textId="3EA4D0E8" w:rsidR="00184B0C" w:rsidRPr="00DE4E0B" w:rsidRDefault="00184B0C" w:rsidP="004672DA">
            <w:pPr>
              <w:pStyle w:val="TableText"/>
              <w:jc w:val="left"/>
              <w:rPr>
                <w:color w:val="000000"/>
              </w:rPr>
            </w:pPr>
            <w:r>
              <w:rPr>
                <w:color w:val="000000"/>
              </w:rPr>
              <w:t>–</w:t>
            </w:r>
          </w:p>
        </w:tc>
        <w:tc>
          <w:tcPr>
            <w:tcW w:w="510" w:type="pct"/>
          </w:tcPr>
          <w:p w14:paraId="72A09775" w14:textId="1A02986E" w:rsidR="00184B0C" w:rsidRPr="00E92C09" w:rsidRDefault="00184B0C" w:rsidP="004672DA">
            <w:pPr>
              <w:pStyle w:val="TableText"/>
              <w:jc w:val="left"/>
              <w:rPr>
                <w:b/>
                <w:bCs/>
                <w:color w:val="000000"/>
              </w:rPr>
            </w:pPr>
            <w:r w:rsidRPr="00E92C09">
              <w:rPr>
                <w:b/>
                <w:bCs/>
                <w:color w:val="000000"/>
                <w:lang w:val="en-GB"/>
              </w:rPr>
              <w:t>9.6</w:t>
            </w:r>
          </w:p>
        </w:tc>
        <w:tc>
          <w:tcPr>
            <w:tcW w:w="591" w:type="pct"/>
          </w:tcPr>
          <w:p w14:paraId="15DF4ECE" w14:textId="3F0BEB82" w:rsidR="00184B0C" w:rsidRPr="00E92C09" w:rsidRDefault="00184B0C" w:rsidP="004672DA">
            <w:pPr>
              <w:pStyle w:val="TableText"/>
              <w:jc w:val="left"/>
              <w:rPr>
                <w:b/>
                <w:bCs/>
                <w:color w:val="000000"/>
              </w:rPr>
            </w:pPr>
            <w:r w:rsidRPr="00E92C09">
              <w:rPr>
                <w:b/>
                <w:bCs/>
                <w:color w:val="000000"/>
                <w:lang w:val="en-GB"/>
              </w:rPr>
              <w:t>Value used in SSD</w:t>
            </w:r>
          </w:p>
        </w:tc>
      </w:tr>
      <w:tr w:rsidR="00CC08AE" w:rsidRPr="00A61E13" w14:paraId="57250765"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5B732D90" w14:textId="7D802B9A" w:rsidR="00846088" w:rsidRPr="00DE4E0B" w:rsidRDefault="00846088" w:rsidP="004672DA">
            <w:pPr>
              <w:pStyle w:val="TableText"/>
              <w:jc w:val="left"/>
              <w:rPr>
                <w:color w:val="000000"/>
              </w:rPr>
            </w:pPr>
            <w:r>
              <w:rPr>
                <w:color w:val="000000"/>
                <w:lang w:val="en-GB"/>
              </w:rPr>
              <w:t>Crustacean</w:t>
            </w:r>
          </w:p>
        </w:tc>
        <w:tc>
          <w:tcPr>
            <w:tcW w:w="557" w:type="pct"/>
            <w:tcBorders>
              <w:bottom w:val="nil"/>
            </w:tcBorders>
            <w:shd w:val="clear" w:color="auto" w:fill="auto"/>
          </w:tcPr>
          <w:p w14:paraId="6CA7D084" w14:textId="7A9ABAAF" w:rsidR="00846088" w:rsidRPr="00DE4E0B" w:rsidRDefault="00846088" w:rsidP="004672DA">
            <w:pPr>
              <w:pStyle w:val="TableText"/>
              <w:jc w:val="left"/>
              <w:rPr>
                <w:iCs/>
                <w:color w:val="000000"/>
              </w:rPr>
            </w:pPr>
            <w:r w:rsidRPr="00DE4E0B">
              <w:rPr>
                <w:i/>
                <w:color w:val="000000"/>
                <w:lang w:val="en-GB"/>
              </w:rPr>
              <w:t>Diaptomus castor</w:t>
            </w:r>
          </w:p>
        </w:tc>
        <w:tc>
          <w:tcPr>
            <w:tcW w:w="455" w:type="pct"/>
            <w:tcBorders>
              <w:bottom w:val="nil"/>
            </w:tcBorders>
            <w:shd w:val="clear" w:color="auto" w:fill="auto"/>
          </w:tcPr>
          <w:p w14:paraId="7CF744AC" w14:textId="7325DA82" w:rsidR="00846088" w:rsidRPr="00DE4E0B" w:rsidRDefault="00846088" w:rsidP="004672DA">
            <w:pPr>
              <w:pStyle w:val="TableText"/>
              <w:jc w:val="left"/>
              <w:rPr>
                <w:color w:val="000000"/>
              </w:rPr>
            </w:pPr>
            <w:r>
              <w:rPr>
                <w:color w:val="000000"/>
                <w:lang w:val="en-GB"/>
              </w:rPr>
              <w:t>–</w:t>
            </w:r>
          </w:p>
        </w:tc>
        <w:tc>
          <w:tcPr>
            <w:tcW w:w="354" w:type="pct"/>
            <w:tcBorders>
              <w:bottom w:val="nil"/>
            </w:tcBorders>
            <w:shd w:val="clear" w:color="auto" w:fill="auto"/>
          </w:tcPr>
          <w:p w14:paraId="351269E7" w14:textId="2F3C7B7D" w:rsidR="00846088" w:rsidRPr="00DE4E0B" w:rsidRDefault="00846088" w:rsidP="004672DA">
            <w:pPr>
              <w:pStyle w:val="TableText"/>
              <w:jc w:val="left"/>
              <w:rPr>
                <w:color w:val="000000"/>
              </w:rPr>
            </w:pPr>
            <w:r w:rsidRPr="00DE4E0B">
              <w:rPr>
                <w:color w:val="000000"/>
                <w:lang w:val="en-GB"/>
              </w:rPr>
              <w:t>2</w:t>
            </w:r>
          </w:p>
        </w:tc>
        <w:tc>
          <w:tcPr>
            <w:tcW w:w="355" w:type="pct"/>
            <w:tcBorders>
              <w:bottom w:val="nil"/>
            </w:tcBorders>
            <w:shd w:val="clear" w:color="auto" w:fill="auto"/>
          </w:tcPr>
          <w:p w14:paraId="1E75A0A8" w14:textId="1E90D60B" w:rsidR="00846088" w:rsidRPr="00DE4E0B" w:rsidRDefault="00846088" w:rsidP="004672DA">
            <w:pPr>
              <w:pStyle w:val="TableText"/>
              <w:jc w:val="left"/>
              <w:rPr>
                <w:color w:val="000000"/>
              </w:rPr>
            </w:pPr>
            <w:r w:rsidRPr="00DE4E0B">
              <w:rPr>
                <w:color w:val="000000"/>
                <w:lang w:val="en-GB"/>
              </w:rPr>
              <w:t>Acute</w:t>
            </w:r>
          </w:p>
        </w:tc>
        <w:tc>
          <w:tcPr>
            <w:tcW w:w="556" w:type="pct"/>
            <w:tcBorders>
              <w:bottom w:val="nil"/>
            </w:tcBorders>
            <w:shd w:val="clear" w:color="auto" w:fill="auto"/>
          </w:tcPr>
          <w:p w14:paraId="545DB2E2" w14:textId="77777777" w:rsidR="00846088" w:rsidRDefault="00846088" w:rsidP="004672DA">
            <w:pPr>
              <w:pStyle w:val="TableText"/>
              <w:jc w:val="left"/>
              <w:rPr>
                <w:color w:val="000000"/>
                <w:lang w:val="en-GB"/>
              </w:rPr>
            </w:pPr>
            <w:r w:rsidRPr="00DE4E0B">
              <w:rPr>
                <w:color w:val="000000"/>
                <w:lang w:val="en-GB"/>
              </w:rPr>
              <w:t>LC50</w:t>
            </w:r>
          </w:p>
          <w:p w14:paraId="21A1096D" w14:textId="29A466F6" w:rsidR="00846088" w:rsidRPr="00DE4E0B" w:rsidRDefault="00846088" w:rsidP="004672DA">
            <w:pPr>
              <w:pStyle w:val="TableText"/>
              <w:jc w:val="left"/>
              <w:rPr>
                <w:color w:val="000000"/>
              </w:rPr>
            </w:pPr>
            <w:r w:rsidRPr="00DE4E0B">
              <w:rPr>
                <w:color w:val="000000"/>
                <w:lang w:val="en-GB"/>
              </w:rPr>
              <w:t>(Mortality)</w:t>
            </w:r>
          </w:p>
        </w:tc>
        <w:tc>
          <w:tcPr>
            <w:tcW w:w="608" w:type="pct"/>
            <w:tcBorders>
              <w:bottom w:val="nil"/>
            </w:tcBorders>
            <w:shd w:val="clear" w:color="auto" w:fill="auto"/>
          </w:tcPr>
          <w:p w14:paraId="39F35D82" w14:textId="722997BD" w:rsidR="00846088" w:rsidRPr="00DE4E0B" w:rsidRDefault="00846088" w:rsidP="004672DA">
            <w:pPr>
              <w:pStyle w:val="TableText"/>
              <w:jc w:val="left"/>
              <w:rPr>
                <w:color w:val="000000"/>
              </w:rPr>
            </w:pPr>
            <w:r w:rsidRPr="00DE4E0B">
              <w:rPr>
                <w:color w:val="000000"/>
                <w:lang w:val="en-GB"/>
              </w:rPr>
              <w:t>Dechlorinated tap water</w:t>
            </w:r>
          </w:p>
        </w:tc>
        <w:tc>
          <w:tcPr>
            <w:tcW w:w="304" w:type="pct"/>
            <w:tcBorders>
              <w:bottom w:val="nil"/>
            </w:tcBorders>
            <w:shd w:val="clear" w:color="auto" w:fill="auto"/>
          </w:tcPr>
          <w:p w14:paraId="485725EF" w14:textId="5DE9BF65" w:rsidR="00846088" w:rsidRPr="00DE4E0B" w:rsidRDefault="00846088" w:rsidP="004672DA">
            <w:pPr>
              <w:pStyle w:val="TableText"/>
              <w:jc w:val="left"/>
              <w:rPr>
                <w:color w:val="000000"/>
              </w:rPr>
            </w:pPr>
            <w:r w:rsidRPr="00DE4E0B">
              <w:rPr>
                <w:color w:val="000000"/>
                <w:lang w:val="en-GB"/>
              </w:rPr>
              <w:t>25</w:t>
            </w:r>
          </w:p>
        </w:tc>
        <w:tc>
          <w:tcPr>
            <w:tcW w:w="305" w:type="pct"/>
            <w:tcBorders>
              <w:bottom w:val="nil"/>
            </w:tcBorders>
            <w:shd w:val="clear" w:color="auto" w:fill="auto"/>
          </w:tcPr>
          <w:p w14:paraId="52571645" w14:textId="6B605CAE" w:rsidR="00846088" w:rsidRPr="00DE4E0B" w:rsidRDefault="00846088" w:rsidP="004672DA">
            <w:pPr>
              <w:pStyle w:val="TableText"/>
              <w:jc w:val="left"/>
              <w:rPr>
                <w:color w:val="000000"/>
              </w:rPr>
            </w:pPr>
            <w:r w:rsidRPr="00DE4E0B">
              <w:rPr>
                <w:color w:val="000000"/>
                <w:lang w:val="en-GB"/>
              </w:rPr>
              <w:t>7.5</w:t>
            </w:r>
          </w:p>
        </w:tc>
        <w:tc>
          <w:tcPr>
            <w:tcW w:w="510" w:type="pct"/>
            <w:shd w:val="clear" w:color="auto" w:fill="auto"/>
          </w:tcPr>
          <w:p w14:paraId="71FE23BD" w14:textId="6AD07AFD" w:rsidR="00846088" w:rsidRPr="00DE4E0B" w:rsidRDefault="00846088" w:rsidP="004672DA">
            <w:pPr>
              <w:pStyle w:val="TableText"/>
              <w:jc w:val="left"/>
              <w:rPr>
                <w:color w:val="000000"/>
              </w:rPr>
            </w:pPr>
            <w:r w:rsidRPr="00DE4E0B">
              <w:rPr>
                <w:color w:val="000000"/>
                <w:lang w:val="en-GB"/>
              </w:rPr>
              <w:t>3.45</w:t>
            </w:r>
          </w:p>
        </w:tc>
        <w:tc>
          <w:tcPr>
            <w:tcW w:w="591" w:type="pct"/>
            <w:shd w:val="clear" w:color="auto" w:fill="auto"/>
          </w:tcPr>
          <w:p w14:paraId="3DADFF39" w14:textId="5B0B3ECF" w:rsidR="00846088" w:rsidRPr="00DE4E0B" w:rsidRDefault="00846088" w:rsidP="004672DA">
            <w:pPr>
              <w:pStyle w:val="TableText"/>
              <w:jc w:val="left"/>
              <w:rPr>
                <w:i/>
                <w:color w:val="000000"/>
              </w:rPr>
            </w:pPr>
            <w:r w:rsidRPr="00DE4E0B">
              <w:rPr>
                <w:color w:val="000000"/>
                <w:lang w:val="en-GB"/>
              </w:rPr>
              <w:t>Chaton et al. (2002)</w:t>
            </w:r>
          </w:p>
        </w:tc>
      </w:tr>
      <w:tr w:rsidR="00184B0C" w:rsidRPr="00A61E13" w14:paraId="3912C897" w14:textId="77777777" w:rsidTr="00CC08AE">
        <w:trPr>
          <w:cantSplit/>
        </w:trPr>
        <w:tc>
          <w:tcPr>
            <w:tcW w:w="3899" w:type="pct"/>
            <w:gridSpan w:val="9"/>
            <w:tcBorders>
              <w:top w:val="nil"/>
            </w:tcBorders>
          </w:tcPr>
          <w:p w14:paraId="01B69540" w14:textId="4F234D56" w:rsidR="00184B0C" w:rsidRPr="00DE4E0B" w:rsidRDefault="00184B0C" w:rsidP="004672DA">
            <w:pPr>
              <w:pStyle w:val="TableText"/>
              <w:jc w:val="left"/>
              <w:rPr>
                <w:color w:val="000000"/>
              </w:rPr>
            </w:pPr>
            <w:r>
              <w:rPr>
                <w:color w:val="000000"/>
              </w:rPr>
              <w:t>–</w:t>
            </w:r>
          </w:p>
        </w:tc>
        <w:tc>
          <w:tcPr>
            <w:tcW w:w="510" w:type="pct"/>
          </w:tcPr>
          <w:p w14:paraId="54886BF3" w14:textId="13082B23" w:rsidR="00184B0C" w:rsidRPr="00E92C09" w:rsidRDefault="00184B0C" w:rsidP="004672DA">
            <w:pPr>
              <w:pStyle w:val="TableText"/>
              <w:jc w:val="left"/>
              <w:rPr>
                <w:color w:val="000000"/>
              </w:rPr>
            </w:pPr>
            <w:r w:rsidRPr="00E92C09">
              <w:rPr>
                <w:b/>
                <w:bCs/>
                <w:color w:val="000000"/>
                <w:lang w:val="en-GB"/>
              </w:rPr>
              <w:t>0.345</w:t>
            </w:r>
            <w:r w:rsidRPr="00E92C09">
              <w:rPr>
                <w:color w:val="000000"/>
                <w:lang w:val="en-GB"/>
              </w:rPr>
              <w:t xml:space="preserve"> </w:t>
            </w:r>
            <w:r w:rsidRPr="00E92C09">
              <w:rPr>
                <w:rStyle w:val="Strong"/>
                <w:vertAlign w:val="superscript"/>
              </w:rPr>
              <w:t>c</w:t>
            </w:r>
          </w:p>
        </w:tc>
        <w:tc>
          <w:tcPr>
            <w:tcW w:w="591" w:type="pct"/>
          </w:tcPr>
          <w:p w14:paraId="10A22FDC" w14:textId="18300AE0" w:rsidR="002A1A86" w:rsidRPr="00E92C09" w:rsidRDefault="00184B0C" w:rsidP="002A1A86">
            <w:pPr>
              <w:pStyle w:val="TableText"/>
              <w:jc w:val="left"/>
              <w:rPr>
                <w:b/>
                <w:bCs/>
                <w:color w:val="000000"/>
              </w:rPr>
            </w:pPr>
            <w:r w:rsidRPr="00E92C09">
              <w:rPr>
                <w:b/>
                <w:bCs/>
                <w:color w:val="000000"/>
                <w:lang w:val="en-GB"/>
              </w:rPr>
              <w:t>Value used in SSD</w:t>
            </w:r>
          </w:p>
        </w:tc>
      </w:tr>
      <w:tr w:rsidR="00CC08AE" w:rsidRPr="00A61E13" w14:paraId="11173251"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1D9F9A18" w14:textId="51069DEB" w:rsidR="00846088" w:rsidRPr="00DE4E0B" w:rsidRDefault="00846088" w:rsidP="004672DA">
            <w:pPr>
              <w:pStyle w:val="TableText"/>
              <w:jc w:val="left"/>
              <w:rPr>
                <w:color w:val="000000"/>
              </w:rPr>
            </w:pPr>
            <w:r>
              <w:rPr>
                <w:color w:val="000000"/>
                <w:lang w:val="en-GB"/>
              </w:rPr>
              <w:t>Crustacean</w:t>
            </w:r>
          </w:p>
        </w:tc>
        <w:tc>
          <w:tcPr>
            <w:tcW w:w="557" w:type="pct"/>
            <w:tcBorders>
              <w:bottom w:val="nil"/>
            </w:tcBorders>
            <w:shd w:val="clear" w:color="auto" w:fill="auto"/>
          </w:tcPr>
          <w:p w14:paraId="0EE73F2C" w14:textId="2F870EF9" w:rsidR="00846088" w:rsidRPr="00DE4E0B" w:rsidRDefault="00846088" w:rsidP="004672DA">
            <w:pPr>
              <w:pStyle w:val="TableText"/>
              <w:jc w:val="left"/>
              <w:rPr>
                <w:iCs/>
                <w:color w:val="000000"/>
              </w:rPr>
            </w:pPr>
            <w:r w:rsidRPr="00DE4E0B">
              <w:rPr>
                <w:i/>
                <w:color w:val="000000"/>
                <w:lang w:val="en-GB"/>
              </w:rPr>
              <w:t>Simocephalus elizabethae</w:t>
            </w:r>
          </w:p>
        </w:tc>
        <w:tc>
          <w:tcPr>
            <w:tcW w:w="455" w:type="pct"/>
            <w:tcBorders>
              <w:bottom w:val="nil"/>
            </w:tcBorders>
            <w:shd w:val="clear" w:color="auto" w:fill="auto"/>
          </w:tcPr>
          <w:p w14:paraId="586F3427" w14:textId="1CA93F70" w:rsidR="00846088" w:rsidRPr="00DE4E0B" w:rsidRDefault="00846088" w:rsidP="004672DA">
            <w:pPr>
              <w:pStyle w:val="TableText"/>
              <w:jc w:val="left"/>
              <w:rPr>
                <w:color w:val="000000"/>
              </w:rPr>
            </w:pPr>
            <w:r w:rsidRPr="00DE4E0B">
              <w:rPr>
                <w:color w:val="000000"/>
                <w:lang w:val="en-GB"/>
              </w:rPr>
              <w:t>Neonate</w:t>
            </w:r>
            <w:r>
              <w:rPr>
                <w:color w:val="000000"/>
                <w:lang w:val="en-GB"/>
              </w:rPr>
              <w:t xml:space="preserve"> </w:t>
            </w:r>
            <w:r w:rsidRPr="00DE4E0B">
              <w:rPr>
                <w:color w:val="000000"/>
                <w:lang w:val="en-GB"/>
              </w:rPr>
              <w:t>(unfed)</w:t>
            </w:r>
          </w:p>
        </w:tc>
        <w:tc>
          <w:tcPr>
            <w:tcW w:w="354" w:type="pct"/>
            <w:tcBorders>
              <w:bottom w:val="nil"/>
            </w:tcBorders>
            <w:shd w:val="clear" w:color="auto" w:fill="auto"/>
          </w:tcPr>
          <w:p w14:paraId="3D30ACB6" w14:textId="464B17DD" w:rsidR="00846088" w:rsidRPr="00DE4E0B" w:rsidRDefault="00846088" w:rsidP="004672DA">
            <w:pPr>
              <w:pStyle w:val="TableText"/>
              <w:jc w:val="left"/>
              <w:rPr>
                <w:color w:val="000000"/>
              </w:rPr>
            </w:pPr>
            <w:r w:rsidRPr="00DE4E0B">
              <w:rPr>
                <w:color w:val="000000"/>
                <w:lang w:val="en-GB"/>
              </w:rPr>
              <w:t>2</w:t>
            </w:r>
          </w:p>
        </w:tc>
        <w:tc>
          <w:tcPr>
            <w:tcW w:w="355" w:type="pct"/>
            <w:tcBorders>
              <w:bottom w:val="nil"/>
            </w:tcBorders>
            <w:shd w:val="clear" w:color="auto" w:fill="auto"/>
          </w:tcPr>
          <w:p w14:paraId="0F5E9537" w14:textId="41B1C363" w:rsidR="00846088" w:rsidRPr="00DE4E0B" w:rsidRDefault="00846088" w:rsidP="004672DA">
            <w:pPr>
              <w:pStyle w:val="TableText"/>
              <w:jc w:val="left"/>
              <w:rPr>
                <w:color w:val="000000"/>
              </w:rPr>
            </w:pPr>
            <w:r w:rsidRPr="00DE4E0B">
              <w:rPr>
                <w:color w:val="000000"/>
                <w:lang w:val="en-GB"/>
              </w:rPr>
              <w:t>Acute</w:t>
            </w:r>
          </w:p>
        </w:tc>
        <w:tc>
          <w:tcPr>
            <w:tcW w:w="556" w:type="pct"/>
            <w:tcBorders>
              <w:bottom w:val="nil"/>
            </w:tcBorders>
            <w:shd w:val="clear" w:color="auto" w:fill="auto"/>
          </w:tcPr>
          <w:p w14:paraId="087116C6" w14:textId="77777777" w:rsidR="00846088" w:rsidRDefault="00846088" w:rsidP="004672DA">
            <w:pPr>
              <w:pStyle w:val="TableText"/>
              <w:jc w:val="left"/>
              <w:rPr>
                <w:color w:val="000000"/>
                <w:lang w:val="en-GB"/>
              </w:rPr>
            </w:pPr>
            <w:r w:rsidRPr="00DE4E0B">
              <w:rPr>
                <w:color w:val="000000"/>
                <w:lang w:val="en-GB"/>
              </w:rPr>
              <w:t>LC50</w:t>
            </w:r>
          </w:p>
          <w:p w14:paraId="3A8F2351" w14:textId="75836AE4" w:rsidR="00846088" w:rsidRPr="00DE4E0B" w:rsidRDefault="00846088" w:rsidP="004672DA">
            <w:pPr>
              <w:pStyle w:val="TableText"/>
              <w:jc w:val="left"/>
              <w:rPr>
                <w:color w:val="000000"/>
              </w:rPr>
            </w:pPr>
            <w:r w:rsidRPr="00DE4E0B">
              <w:rPr>
                <w:color w:val="000000"/>
                <w:lang w:val="en-GB"/>
              </w:rPr>
              <w:t>(Mortality)</w:t>
            </w:r>
          </w:p>
        </w:tc>
        <w:tc>
          <w:tcPr>
            <w:tcW w:w="608" w:type="pct"/>
            <w:tcBorders>
              <w:bottom w:val="nil"/>
            </w:tcBorders>
            <w:shd w:val="clear" w:color="auto" w:fill="auto"/>
          </w:tcPr>
          <w:p w14:paraId="204AA714" w14:textId="7B6D5859" w:rsidR="00846088" w:rsidRPr="00DE4E0B" w:rsidRDefault="00846088" w:rsidP="004672DA">
            <w:pPr>
              <w:pStyle w:val="TableText"/>
              <w:jc w:val="left"/>
              <w:rPr>
                <w:color w:val="000000"/>
              </w:rPr>
            </w:pPr>
            <w:r w:rsidRPr="00DE4E0B">
              <w:rPr>
                <w:color w:val="000000"/>
                <w:lang w:val="en-GB"/>
              </w:rPr>
              <w:t>Martins rearing solution</w:t>
            </w:r>
            <w:r>
              <w:rPr>
                <w:color w:val="000000"/>
                <w:lang w:val="en-GB"/>
              </w:rPr>
              <w:t xml:space="preserve"> </w:t>
            </w:r>
            <w:r w:rsidRPr="00DE4E0B">
              <w:rPr>
                <w:color w:val="000000"/>
                <w:lang w:val="en-GB"/>
              </w:rPr>
              <w:t>/</w:t>
            </w:r>
            <w:r>
              <w:rPr>
                <w:color w:val="000000"/>
                <w:lang w:val="en-GB"/>
              </w:rPr>
              <w:t xml:space="preserve"> </w:t>
            </w:r>
            <w:r w:rsidRPr="00DE4E0B">
              <w:rPr>
                <w:color w:val="000000"/>
                <w:lang w:val="en-GB"/>
              </w:rPr>
              <w:t>thiamine hydrochloride</w:t>
            </w:r>
          </w:p>
        </w:tc>
        <w:tc>
          <w:tcPr>
            <w:tcW w:w="304" w:type="pct"/>
            <w:tcBorders>
              <w:bottom w:val="nil"/>
            </w:tcBorders>
            <w:shd w:val="clear" w:color="auto" w:fill="auto"/>
          </w:tcPr>
          <w:p w14:paraId="6AF87D22" w14:textId="072CC8A5" w:rsidR="00846088" w:rsidRPr="00DE4E0B" w:rsidRDefault="00846088" w:rsidP="004672DA">
            <w:pPr>
              <w:pStyle w:val="TableText"/>
              <w:jc w:val="left"/>
              <w:rPr>
                <w:color w:val="000000"/>
              </w:rPr>
            </w:pPr>
            <w:r>
              <w:rPr>
                <w:color w:val="000000"/>
                <w:lang w:val="en-GB"/>
              </w:rPr>
              <w:t>–</w:t>
            </w:r>
          </w:p>
        </w:tc>
        <w:tc>
          <w:tcPr>
            <w:tcW w:w="305" w:type="pct"/>
            <w:tcBorders>
              <w:bottom w:val="nil"/>
            </w:tcBorders>
            <w:shd w:val="clear" w:color="auto" w:fill="auto"/>
          </w:tcPr>
          <w:p w14:paraId="59E57D82" w14:textId="43FBEBF2" w:rsidR="00846088" w:rsidRPr="00DE4E0B" w:rsidRDefault="00846088" w:rsidP="004672DA">
            <w:pPr>
              <w:pStyle w:val="TableText"/>
              <w:jc w:val="left"/>
              <w:rPr>
                <w:color w:val="000000"/>
              </w:rPr>
            </w:pPr>
            <w:r>
              <w:rPr>
                <w:color w:val="000000"/>
                <w:lang w:val="en-GB"/>
              </w:rPr>
              <w:t>–</w:t>
            </w:r>
          </w:p>
        </w:tc>
        <w:tc>
          <w:tcPr>
            <w:tcW w:w="510" w:type="pct"/>
            <w:shd w:val="clear" w:color="auto" w:fill="auto"/>
          </w:tcPr>
          <w:p w14:paraId="540CBD51" w14:textId="21A956B9" w:rsidR="00846088" w:rsidRPr="00DE4E0B" w:rsidRDefault="00846088" w:rsidP="004672DA">
            <w:pPr>
              <w:pStyle w:val="TableText"/>
              <w:jc w:val="left"/>
              <w:rPr>
                <w:color w:val="000000"/>
              </w:rPr>
            </w:pPr>
            <w:r w:rsidRPr="00DE4E0B">
              <w:rPr>
                <w:color w:val="000000"/>
                <w:lang w:val="en-GB"/>
              </w:rPr>
              <w:t>11.13</w:t>
            </w:r>
          </w:p>
        </w:tc>
        <w:tc>
          <w:tcPr>
            <w:tcW w:w="591" w:type="pct"/>
            <w:shd w:val="clear" w:color="auto" w:fill="auto"/>
          </w:tcPr>
          <w:p w14:paraId="07C7A525" w14:textId="7870BD09" w:rsidR="00846088" w:rsidRPr="00DE4E0B" w:rsidRDefault="00846088" w:rsidP="004672DA">
            <w:pPr>
              <w:pStyle w:val="TableText"/>
              <w:jc w:val="left"/>
            </w:pPr>
            <w:r w:rsidRPr="00DE4E0B">
              <w:rPr>
                <w:color w:val="000000"/>
                <w:lang w:val="en-GB"/>
              </w:rPr>
              <w:t>Stevens et al. (2011)</w:t>
            </w:r>
          </w:p>
        </w:tc>
      </w:tr>
      <w:tr w:rsidR="002A1A86" w:rsidRPr="00A61E13" w14:paraId="544A05F7" w14:textId="77777777" w:rsidTr="00CC08AE">
        <w:trPr>
          <w:cantSplit/>
        </w:trPr>
        <w:tc>
          <w:tcPr>
            <w:tcW w:w="3899" w:type="pct"/>
            <w:gridSpan w:val="9"/>
            <w:tcBorders>
              <w:top w:val="nil"/>
            </w:tcBorders>
          </w:tcPr>
          <w:p w14:paraId="3A09D9A2" w14:textId="12E03195" w:rsidR="002A1A86" w:rsidRPr="00DE4E0B" w:rsidRDefault="002A1A86" w:rsidP="004672DA">
            <w:pPr>
              <w:pStyle w:val="TableText"/>
              <w:jc w:val="left"/>
              <w:rPr>
                <w:color w:val="000000"/>
              </w:rPr>
            </w:pPr>
            <w:r>
              <w:rPr>
                <w:color w:val="000000"/>
              </w:rPr>
              <w:t>–</w:t>
            </w:r>
          </w:p>
        </w:tc>
        <w:tc>
          <w:tcPr>
            <w:tcW w:w="510" w:type="pct"/>
          </w:tcPr>
          <w:p w14:paraId="26EEE7E8" w14:textId="2B1E5719" w:rsidR="002A1A86" w:rsidRPr="00E92C09" w:rsidRDefault="002A1A86" w:rsidP="004672DA">
            <w:pPr>
              <w:pStyle w:val="TableText"/>
              <w:jc w:val="left"/>
              <w:rPr>
                <w:b/>
                <w:bCs/>
                <w:color w:val="000000"/>
              </w:rPr>
            </w:pPr>
            <w:r w:rsidRPr="00E92C09">
              <w:rPr>
                <w:b/>
                <w:bCs/>
                <w:color w:val="000000"/>
                <w:lang w:val="en-GB"/>
              </w:rPr>
              <w:t>1.113</w:t>
            </w:r>
            <w:r w:rsidR="00BE15F0">
              <w:rPr>
                <w:b/>
                <w:bCs/>
                <w:color w:val="000000"/>
                <w:lang w:val="en-GB"/>
              </w:rPr>
              <w:t xml:space="preserve"> </w:t>
            </w:r>
            <w:r w:rsidR="00BE15F0" w:rsidRPr="00E92C09">
              <w:rPr>
                <w:rStyle w:val="Strong"/>
                <w:vertAlign w:val="superscript"/>
              </w:rPr>
              <w:t>c</w:t>
            </w:r>
          </w:p>
        </w:tc>
        <w:tc>
          <w:tcPr>
            <w:tcW w:w="591" w:type="pct"/>
          </w:tcPr>
          <w:p w14:paraId="364370C5" w14:textId="419309BF" w:rsidR="002A1A86" w:rsidRPr="00E92C09" w:rsidRDefault="002A1A86" w:rsidP="004672DA">
            <w:pPr>
              <w:pStyle w:val="TableText"/>
              <w:jc w:val="left"/>
              <w:rPr>
                <w:b/>
                <w:bCs/>
              </w:rPr>
            </w:pPr>
            <w:r w:rsidRPr="00E92C09">
              <w:rPr>
                <w:b/>
                <w:bCs/>
                <w:color w:val="000000"/>
                <w:lang w:val="en-GB"/>
              </w:rPr>
              <w:t>Value used in SSD</w:t>
            </w:r>
          </w:p>
        </w:tc>
      </w:tr>
      <w:tr w:rsidR="00CC08AE" w:rsidRPr="00A61E13" w14:paraId="4D431320"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val="restart"/>
            <w:shd w:val="clear" w:color="auto" w:fill="auto"/>
          </w:tcPr>
          <w:p w14:paraId="65899405" w14:textId="57ADF501" w:rsidR="00846088" w:rsidRPr="00DE4E0B" w:rsidRDefault="00846088" w:rsidP="004672DA">
            <w:pPr>
              <w:pStyle w:val="TableText"/>
              <w:jc w:val="left"/>
              <w:rPr>
                <w:color w:val="000000"/>
              </w:rPr>
            </w:pPr>
            <w:r>
              <w:rPr>
                <w:color w:val="000000"/>
                <w:lang w:val="en-GB"/>
              </w:rPr>
              <w:lastRenderedPageBreak/>
              <w:t>Insect</w:t>
            </w:r>
          </w:p>
        </w:tc>
        <w:tc>
          <w:tcPr>
            <w:tcW w:w="557" w:type="pct"/>
            <w:vMerge w:val="restart"/>
            <w:shd w:val="clear" w:color="auto" w:fill="auto"/>
          </w:tcPr>
          <w:p w14:paraId="6A007ABA" w14:textId="0816E9F5" w:rsidR="00846088" w:rsidRPr="00DE4E0B" w:rsidRDefault="00846088" w:rsidP="004672DA">
            <w:pPr>
              <w:pStyle w:val="TableText"/>
              <w:jc w:val="left"/>
              <w:rPr>
                <w:iCs/>
                <w:color w:val="000000"/>
              </w:rPr>
            </w:pPr>
            <w:r w:rsidRPr="00DE4E0B">
              <w:rPr>
                <w:i/>
                <w:color w:val="000000"/>
                <w:lang w:val="en-GB"/>
              </w:rPr>
              <w:t>Aedes aegypti</w:t>
            </w:r>
          </w:p>
        </w:tc>
        <w:tc>
          <w:tcPr>
            <w:tcW w:w="455" w:type="pct"/>
            <w:shd w:val="clear" w:color="auto" w:fill="auto"/>
          </w:tcPr>
          <w:p w14:paraId="2F711587" w14:textId="3D35267F" w:rsidR="00846088" w:rsidRPr="00DE4E0B" w:rsidRDefault="00846088" w:rsidP="004672DA">
            <w:pPr>
              <w:pStyle w:val="TableText"/>
              <w:jc w:val="left"/>
              <w:rPr>
                <w:color w:val="000000"/>
              </w:rPr>
            </w:pPr>
            <w:r w:rsidRPr="00DE4E0B">
              <w:rPr>
                <w:color w:val="000000"/>
                <w:lang w:val="en-GB"/>
              </w:rPr>
              <w:t>Fo</w:t>
            </w:r>
            <w:r>
              <w:rPr>
                <w:color w:val="000000"/>
                <w:lang w:val="en-GB"/>
              </w:rPr>
              <w:t>u</w:t>
            </w:r>
            <w:r w:rsidRPr="00DE4E0B">
              <w:rPr>
                <w:color w:val="000000"/>
                <w:lang w:val="en-GB"/>
              </w:rPr>
              <w:t>rth instar larva</w:t>
            </w:r>
          </w:p>
        </w:tc>
        <w:tc>
          <w:tcPr>
            <w:tcW w:w="354" w:type="pct"/>
            <w:shd w:val="clear" w:color="auto" w:fill="auto"/>
          </w:tcPr>
          <w:p w14:paraId="20539B5C" w14:textId="6A6C6EE6" w:rsidR="00846088" w:rsidRPr="00DE4E0B" w:rsidRDefault="00846088" w:rsidP="004672DA">
            <w:pPr>
              <w:pStyle w:val="TableText"/>
              <w:jc w:val="left"/>
              <w:rPr>
                <w:color w:val="000000"/>
              </w:rPr>
            </w:pPr>
            <w:r>
              <w:rPr>
                <w:color w:val="000000"/>
                <w:lang w:val="en-GB"/>
              </w:rPr>
              <w:t>2</w:t>
            </w:r>
          </w:p>
        </w:tc>
        <w:tc>
          <w:tcPr>
            <w:tcW w:w="355" w:type="pct"/>
            <w:shd w:val="clear" w:color="auto" w:fill="auto"/>
          </w:tcPr>
          <w:p w14:paraId="427BDE8E" w14:textId="5CE768CF" w:rsidR="00846088" w:rsidRPr="00DE4E0B" w:rsidRDefault="00846088" w:rsidP="004672DA">
            <w:pPr>
              <w:pStyle w:val="TableText"/>
              <w:jc w:val="left"/>
              <w:rPr>
                <w:color w:val="000000"/>
              </w:rPr>
            </w:pPr>
            <w:r>
              <w:rPr>
                <w:color w:val="000000"/>
                <w:lang w:val="en-GB"/>
              </w:rPr>
              <w:t>Acute</w:t>
            </w:r>
          </w:p>
        </w:tc>
        <w:tc>
          <w:tcPr>
            <w:tcW w:w="556" w:type="pct"/>
            <w:shd w:val="clear" w:color="auto" w:fill="auto"/>
          </w:tcPr>
          <w:p w14:paraId="58092000" w14:textId="77777777" w:rsidR="00846088" w:rsidRDefault="00846088" w:rsidP="004672DA">
            <w:pPr>
              <w:pStyle w:val="TableText"/>
              <w:jc w:val="left"/>
              <w:rPr>
                <w:color w:val="000000"/>
                <w:lang w:val="en-GB"/>
              </w:rPr>
            </w:pPr>
            <w:r>
              <w:rPr>
                <w:color w:val="000000"/>
                <w:lang w:val="en-GB"/>
              </w:rPr>
              <w:t>LC50</w:t>
            </w:r>
          </w:p>
          <w:p w14:paraId="2515C807" w14:textId="711D72DE" w:rsidR="00846088" w:rsidRPr="00DE4E0B" w:rsidRDefault="00846088" w:rsidP="004672DA">
            <w:pPr>
              <w:pStyle w:val="TableText"/>
              <w:jc w:val="left"/>
              <w:rPr>
                <w:color w:val="000000"/>
              </w:rPr>
            </w:pPr>
            <w:r>
              <w:rPr>
                <w:color w:val="000000"/>
                <w:lang w:val="en-GB"/>
              </w:rPr>
              <w:t>(Mortality)</w:t>
            </w:r>
          </w:p>
        </w:tc>
        <w:tc>
          <w:tcPr>
            <w:tcW w:w="608" w:type="pct"/>
            <w:shd w:val="clear" w:color="auto" w:fill="auto"/>
          </w:tcPr>
          <w:p w14:paraId="4FA7713C" w14:textId="6328A769" w:rsidR="00846088" w:rsidRPr="00DE4E0B" w:rsidRDefault="00846088" w:rsidP="004672DA">
            <w:pPr>
              <w:pStyle w:val="TableText"/>
              <w:jc w:val="left"/>
              <w:rPr>
                <w:color w:val="000000"/>
              </w:rPr>
            </w:pPr>
            <w:r>
              <w:rPr>
                <w:color w:val="000000"/>
                <w:lang w:val="en-GB"/>
              </w:rPr>
              <w:t>Tap water</w:t>
            </w:r>
          </w:p>
        </w:tc>
        <w:tc>
          <w:tcPr>
            <w:tcW w:w="304" w:type="pct"/>
            <w:shd w:val="clear" w:color="auto" w:fill="auto"/>
          </w:tcPr>
          <w:p w14:paraId="65AFE994" w14:textId="29AB4302" w:rsidR="00846088" w:rsidRPr="00DE4E0B" w:rsidRDefault="00846088" w:rsidP="004672DA">
            <w:pPr>
              <w:pStyle w:val="TableText"/>
              <w:jc w:val="left"/>
              <w:rPr>
                <w:color w:val="000000"/>
              </w:rPr>
            </w:pPr>
            <w:r w:rsidRPr="00F4074B">
              <w:rPr>
                <w:color w:val="000000"/>
                <w:lang w:val="en-GB"/>
              </w:rPr>
              <w:t>26 ± 2</w:t>
            </w:r>
          </w:p>
        </w:tc>
        <w:tc>
          <w:tcPr>
            <w:tcW w:w="305" w:type="pct"/>
            <w:shd w:val="clear" w:color="auto" w:fill="auto"/>
          </w:tcPr>
          <w:p w14:paraId="28A0CA5A" w14:textId="3B12A8A2" w:rsidR="00846088" w:rsidRPr="00DE4E0B" w:rsidRDefault="00846088" w:rsidP="004672DA">
            <w:pPr>
              <w:pStyle w:val="TableText"/>
              <w:jc w:val="left"/>
              <w:rPr>
                <w:color w:val="000000"/>
              </w:rPr>
            </w:pPr>
            <w:r>
              <w:rPr>
                <w:color w:val="000000"/>
                <w:lang w:val="en-GB"/>
              </w:rPr>
              <w:t>–</w:t>
            </w:r>
          </w:p>
        </w:tc>
        <w:tc>
          <w:tcPr>
            <w:tcW w:w="510" w:type="pct"/>
            <w:shd w:val="clear" w:color="auto" w:fill="auto"/>
          </w:tcPr>
          <w:p w14:paraId="3B7FB4A3" w14:textId="05B5C9C9" w:rsidR="00846088" w:rsidRPr="004C7043" w:rsidRDefault="00846088" w:rsidP="004672DA">
            <w:pPr>
              <w:pStyle w:val="TableText"/>
              <w:jc w:val="left"/>
              <w:rPr>
                <w:color w:val="000000"/>
                <w:lang w:val="en-GB"/>
              </w:rPr>
            </w:pPr>
            <w:r>
              <w:rPr>
                <w:color w:val="000000"/>
                <w:lang w:val="en-GB"/>
              </w:rPr>
              <w:t>1.54</w:t>
            </w:r>
          </w:p>
        </w:tc>
        <w:tc>
          <w:tcPr>
            <w:tcW w:w="591" w:type="pct"/>
            <w:shd w:val="clear" w:color="auto" w:fill="auto"/>
          </w:tcPr>
          <w:p w14:paraId="2D41B82B" w14:textId="2A0AD600" w:rsidR="00846088" w:rsidRPr="004C7043" w:rsidRDefault="00846088" w:rsidP="004672DA">
            <w:pPr>
              <w:pStyle w:val="TableText"/>
              <w:jc w:val="left"/>
              <w:rPr>
                <w:i/>
                <w:color w:val="000000"/>
                <w:lang w:val="en-GB"/>
              </w:rPr>
            </w:pPr>
            <w:r>
              <w:rPr>
                <w:color w:val="000000"/>
                <w:lang w:val="en-GB"/>
              </w:rPr>
              <w:t>Ali et al. (1998)</w:t>
            </w:r>
          </w:p>
        </w:tc>
      </w:tr>
      <w:tr w:rsidR="00CC08AE" w:rsidRPr="00A61E13" w14:paraId="435655AA" w14:textId="77777777" w:rsidTr="00CC08AE">
        <w:trPr>
          <w:cantSplit/>
        </w:trPr>
        <w:tc>
          <w:tcPr>
            <w:tcW w:w="405" w:type="pct"/>
            <w:vMerge/>
            <w:tcBorders>
              <w:bottom w:val="nil"/>
            </w:tcBorders>
          </w:tcPr>
          <w:p w14:paraId="232A956B" w14:textId="77777777" w:rsidR="00846088" w:rsidRPr="00DE4E0B" w:rsidRDefault="00846088" w:rsidP="004672DA">
            <w:pPr>
              <w:pStyle w:val="TableText"/>
              <w:jc w:val="left"/>
              <w:rPr>
                <w:color w:val="000000"/>
                <w:lang w:val="en-GB"/>
              </w:rPr>
            </w:pPr>
          </w:p>
        </w:tc>
        <w:tc>
          <w:tcPr>
            <w:tcW w:w="557" w:type="pct"/>
            <w:vMerge/>
            <w:tcBorders>
              <w:bottom w:val="nil"/>
            </w:tcBorders>
          </w:tcPr>
          <w:p w14:paraId="33B2ED88" w14:textId="77777777" w:rsidR="00846088" w:rsidRPr="00DE4E0B" w:rsidRDefault="00846088" w:rsidP="004672DA">
            <w:pPr>
              <w:pStyle w:val="TableText"/>
              <w:jc w:val="left"/>
              <w:rPr>
                <w:i/>
                <w:color w:val="000000"/>
                <w:lang w:val="en-GB"/>
              </w:rPr>
            </w:pPr>
          </w:p>
        </w:tc>
        <w:tc>
          <w:tcPr>
            <w:tcW w:w="455" w:type="pct"/>
            <w:tcBorders>
              <w:bottom w:val="nil"/>
            </w:tcBorders>
          </w:tcPr>
          <w:p w14:paraId="724F5511" w14:textId="485F30DB" w:rsidR="00846088" w:rsidRPr="00DE4E0B" w:rsidRDefault="00846088" w:rsidP="004672DA">
            <w:pPr>
              <w:pStyle w:val="TableText"/>
              <w:jc w:val="left"/>
              <w:rPr>
                <w:color w:val="000000"/>
                <w:lang w:val="en-GB"/>
              </w:rPr>
            </w:pPr>
            <w:r w:rsidRPr="00DE4E0B">
              <w:rPr>
                <w:color w:val="000000"/>
                <w:lang w:val="en-GB"/>
              </w:rPr>
              <w:t>Fo</w:t>
            </w:r>
            <w:r>
              <w:rPr>
                <w:color w:val="000000"/>
                <w:lang w:val="en-GB"/>
              </w:rPr>
              <w:t>u</w:t>
            </w:r>
            <w:r w:rsidRPr="00DE4E0B">
              <w:rPr>
                <w:color w:val="000000"/>
                <w:lang w:val="en-GB"/>
              </w:rPr>
              <w:t>rth instar larva</w:t>
            </w:r>
          </w:p>
        </w:tc>
        <w:tc>
          <w:tcPr>
            <w:tcW w:w="354" w:type="pct"/>
            <w:tcBorders>
              <w:bottom w:val="nil"/>
            </w:tcBorders>
          </w:tcPr>
          <w:p w14:paraId="687F6522" w14:textId="7842B1D3" w:rsidR="00846088" w:rsidRDefault="00846088" w:rsidP="004672DA">
            <w:pPr>
              <w:pStyle w:val="TableText"/>
              <w:jc w:val="left"/>
              <w:rPr>
                <w:color w:val="000000"/>
                <w:lang w:val="en-GB"/>
              </w:rPr>
            </w:pPr>
            <w:r>
              <w:rPr>
                <w:color w:val="000000"/>
                <w:lang w:val="en-GB"/>
              </w:rPr>
              <w:t>2</w:t>
            </w:r>
          </w:p>
        </w:tc>
        <w:tc>
          <w:tcPr>
            <w:tcW w:w="355" w:type="pct"/>
            <w:tcBorders>
              <w:bottom w:val="nil"/>
            </w:tcBorders>
          </w:tcPr>
          <w:p w14:paraId="7A57C235" w14:textId="31ACF4C6" w:rsidR="00846088" w:rsidRDefault="00846088" w:rsidP="004672DA">
            <w:pPr>
              <w:pStyle w:val="TableText"/>
              <w:jc w:val="left"/>
              <w:rPr>
                <w:color w:val="000000"/>
                <w:lang w:val="en-GB"/>
              </w:rPr>
            </w:pPr>
            <w:r>
              <w:rPr>
                <w:color w:val="000000"/>
                <w:lang w:val="en-GB"/>
              </w:rPr>
              <w:t>Acute</w:t>
            </w:r>
          </w:p>
        </w:tc>
        <w:tc>
          <w:tcPr>
            <w:tcW w:w="556" w:type="pct"/>
            <w:tcBorders>
              <w:bottom w:val="nil"/>
            </w:tcBorders>
          </w:tcPr>
          <w:p w14:paraId="73C179EC" w14:textId="77777777" w:rsidR="00846088" w:rsidRDefault="00846088" w:rsidP="004672DA">
            <w:pPr>
              <w:pStyle w:val="TableText"/>
              <w:jc w:val="left"/>
              <w:rPr>
                <w:color w:val="000000"/>
                <w:lang w:val="en-GB"/>
              </w:rPr>
            </w:pPr>
            <w:r>
              <w:rPr>
                <w:color w:val="000000"/>
                <w:lang w:val="en-GB"/>
              </w:rPr>
              <w:t>LC50</w:t>
            </w:r>
          </w:p>
          <w:p w14:paraId="13C26AEF" w14:textId="606F51D0" w:rsidR="00846088" w:rsidRDefault="00846088" w:rsidP="004672DA">
            <w:pPr>
              <w:pStyle w:val="TableText"/>
              <w:jc w:val="left"/>
              <w:rPr>
                <w:color w:val="000000"/>
                <w:lang w:val="en-GB"/>
              </w:rPr>
            </w:pPr>
            <w:r>
              <w:rPr>
                <w:color w:val="000000"/>
                <w:lang w:val="en-GB"/>
              </w:rPr>
              <w:t>(Mortality)</w:t>
            </w:r>
          </w:p>
        </w:tc>
        <w:tc>
          <w:tcPr>
            <w:tcW w:w="608" w:type="pct"/>
            <w:tcBorders>
              <w:bottom w:val="nil"/>
            </w:tcBorders>
          </w:tcPr>
          <w:p w14:paraId="248D1A15" w14:textId="02E0638F" w:rsidR="00846088" w:rsidRDefault="00846088" w:rsidP="004672DA">
            <w:pPr>
              <w:pStyle w:val="TableText"/>
              <w:jc w:val="left"/>
              <w:rPr>
                <w:color w:val="000000"/>
                <w:lang w:val="en-GB"/>
              </w:rPr>
            </w:pPr>
            <w:r>
              <w:rPr>
                <w:color w:val="000000"/>
                <w:lang w:val="en-GB"/>
              </w:rPr>
              <w:t>Tap water</w:t>
            </w:r>
          </w:p>
        </w:tc>
        <w:tc>
          <w:tcPr>
            <w:tcW w:w="304" w:type="pct"/>
            <w:tcBorders>
              <w:bottom w:val="nil"/>
            </w:tcBorders>
          </w:tcPr>
          <w:p w14:paraId="542E6780" w14:textId="75580AC9" w:rsidR="00846088" w:rsidRPr="00F4074B" w:rsidRDefault="00846088" w:rsidP="004672DA">
            <w:pPr>
              <w:pStyle w:val="TableText"/>
              <w:jc w:val="left"/>
              <w:rPr>
                <w:color w:val="000000"/>
                <w:lang w:val="en-GB"/>
              </w:rPr>
            </w:pPr>
            <w:r w:rsidRPr="00F4074B">
              <w:rPr>
                <w:color w:val="000000"/>
                <w:lang w:val="en-GB"/>
              </w:rPr>
              <w:t xml:space="preserve">26 ± </w:t>
            </w:r>
            <w:r>
              <w:rPr>
                <w:color w:val="000000"/>
                <w:lang w:val="en-GB"/>
              </w:rPr>
              <w:t>1</w:t>
            </w:r>
          </w:p>
        </w:tc>
        <w:tc>
          <w:tcPr>
            <w:tcW w:w="305" w:type="pct"/>
            <w:tcBorders>
              <w:bottom w:val="nil"/>
            </w:tcBorders>
          </w:tcPr>
          <w:p w14:paraId="13458B78" w14:textId="06E21735" w:rsidR="00846088" w:rsidRDefault="00846088" w:rsidP="004672DA">
            <w:pPr>
              <w:pStyle w:val="TableText"/>
              <w:jc w:val="left"/>
              <w:rPr>
                <w:color w:val="000000"/>
                <w:lang w:val="en-GB"/>
              </w:rPr>
            </w:pPr>
            <w:r>
              <w:rPr>
                <w:color w:val="000000"/>
                <w:lang w:val="en-GB"/>
              </w:rPr>
              <w:t>–</w:t>
            </w:r>
          </w:p>
        </w:tc>
        <w:tc>
          <w:tcPr>
            <w:tcW w:w="510" w:type="pct"/>
          </w:tcPr>
          <w:p w14:paraId="6E0438A2" w14:textId="764C026E" w:rsidR="00846088" w:rsidRDefault="00846088" w:rsidP="004672DA">
            <w:pPr>
              <w:pStyle w:val="TableText"/>
              <w:jc w:val="left"/>
              <w:rPr>
                <w:color w:val="000000"/>
                <w:lang w:val="en-GB"/>
              </w:rPr>
            </w:pPr>
            <w:r>
              <w:rPr>
                <w:color w:val="000000"/>
                <w:lang w:val="en-GB"/>
              </w:rPr>
              <w:t>6.6</w:t>
            </w:r>
          </w:p>
        </w:tc>
        <w:tc>
          <w:tcPr>
            <w:tcW w:w="591" w:type="pct"/>
          </w:tcPr>
          <w:p w14:paraId="32FD87FA" w14:textId="5D0630FE" w:rsidR="00846088" w:rsidRDefault="00846088" w:rsidP="004672DA">
            <w:pPr>
              <w:pStyle w:val="TableText"/>
              <w:jc w:val="left"/>
              <w:rPr>
                <w:color w:val="000000"/>
                <w:lang w:val="en-GB"/>
              </w:rPr>
            </w:pPr>
            <w:r>
              <w:rPr>
                <w:color w:val="000000"/>
                <w:lang w:val="en-GB"/>
              </w:rPr>
              <w:t>Chaton et al. (2001)</w:t>
            </w:r>
          </w:p>
        </w:tc>
      </w:tr>
      <w:tr w:rsidR="00C756C0" w:rsidRPr="00A61E13" w14:paraId="55BEE1CF"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vMerge w:val="restart"/>
            <w:tcBorders>
              <w:top w:val="nil"/>
            </w:tcBorders>
            <w:shd w:val="clear" w:color="auto" w:fill="auto"/>
          </w:tcPr>
          <w:p w14:paraId="715AC44A" w14:textId="2ECF2D50" w:rsidR="00C756C0" w:rsidRDefault="00C756C0" w:rsidP="004672DA">
            <w:pPr>
              <w:pStyle w:val="TableText"/>
              <w:jc w:val="left"/>
              <w:rPr>
                <w:color w:val="000000"/>
                <w:lang w:val="en-GB"/>
              </w:rPr>
            </w:pPr>
            <w:r>
              <w:rPr>
                <w:color w:val="000000"/>
                <w:lang w:val="en-GB"/>
              </w:rPr>
              <w:t>–</w:t>
            </w:r>
          </w:p>
        </w:tc>
        <w:tc>
          <w:tcPr>
            <w:tcW w:w="510" w:type="pct"/>
            <w:shd w:val="clear" w:color="auto" w:fill="auto"/>
          </w:tcPr>
          <w:p w14:paraId="422947B7" w14:textId="3C984DD9" w:rsidR="00C756C0" w:rsidRPr="00E92C09" w:rsidRDefault="00C756C0" w:rsidP="004672DA">
            <w:pPr>
              <w:pStyle w:val="TableText"/>
              <w:jc w:val="left"/>
              <w:rPr>
                <w:i/>
                <w:iCs/>
                <w:color w:val="000000"/>
                <w:lang w:val="en-GB"/>
              </w:rPr>
            </w:pPr>
            <w:r w:rsidRPr="00E92C09">
              <w:rPr>
                <w:i/>
                <w:iCs/>
                <w:color w:val="000000"/>
                <w:lang w:val="en-GB"/>
              </w:rPr>
              <w:t>3.2</w:t>
            </w:r>
          </w:p>
        </w:tc>
        <w:tc>
          <w:tcPr>
            <w:tcW w:w="591" w:type="pct"/>
            <w:shd w:val="clear" w:color="auto" w:fill="auto"/>
          </w:tcPr>
          <w:p w14:paraId="44B102A2" w14:textId="64361197" w:rsidR="00C756C0" w:rsidRPr="00E92C09" w:rsidRDefault="00C756C0" w:rsidP="004672DA">
            <w:pPr>
              <w:pStyle w:val="TableText"/>
              <w:jc w:val="left"/>
              <w:rPr>
                <w:i/>
                <w:iCs/>
                <w:color w:val="000000"/>
                <w:lang w:val="en-GB"/>
              </w:rPr>
            </w:pPr>
            <w:r w:rsidRPr="00E92C09">
              <w:rPr>
                <w:i/>
                <w:iCs/>
                <w:color w:val="000000"/>
                <w:lang w:val="en-GB"/>
              </w:rPr>
              <w:t>Geometric mean</w:t>
            </w:r>
          </w:p>
        </w:tc>
      </w:tr>
      <w:tr w:rsidR="00C756C0" w:rsidRPr="00A61E13" w14:paraId="55646F85" w14:textId="77777777" w:rsidTr="00CC08AE">
        <w:trPr>
          <w:cantSplit/>
        </w:trPr>
        <w:tc>
          <w:tcPr>
            <w:tcW w:w="3899" w:type="pct"/>
            <w:gridSpan w:val="9"/>
            <w:vMerge/>
          </w:tcPr>
          <w:p w14:paraId="11AB8AE2" w14:textId="203866DF" w:rsidR="00C756C0" w:rsidRDefault="00C756C0" w:rsidP="004672DA">
            <w:pPr>
              <w:pStyle w:val="TableText"/>
              <w:jc w:val="left"/>
              <w:rPr>
                <w:color w:val="000000"/>
                <w:lang w:val="en-GB"/>
              </w:rPr>
            </w:pPr>
          </w:p>
        </w:tc>
        <w:tc>
          <w:tcPr>
            <w:tcW w:w="510" w:type="pct"/>
          </w:tcPr>
          <w:p w14:paraId="7CFBC316" w14:textId="2FCF844B" w:rsidR="00C756C0" w:rsidRDefault="00C756C0" w:rsidP="004672DA">
            <w:pPr>
              <w:pStyle w:val="TableText"/>
              <w:jc w:val="left"/>
              <w:rPr>
                <w:color w:val="000000"/>
                <w:lang w:val="en-GB"/>
              </w:rPr>
            </w:pPr>
            <w:r w:rsidRPr="00E92C09">
              <w:rPr>
                <w:b/>
                <w:bCs/>
                <w:color w:val="000000"/>
                <w:lang w:val="en-GB"/>
              </w:rPr>
              <w:t>0.32</w:t>
            </w:r>
            <w:r>
              <w:rPr>
                <w:color w:val="000000"/>
                <w:lang w:val="en-GB"/>
              </w:rPr>
              <w:t xml:space="preserve"> </w:t>
            </w:r>
            <w:r w:rsidRPr="00C64456">
              <w:rPr>
                <w:rStyle w:val="Strong"/>
                <w:vertAlign w:val="superscript"/>
              </w:rPr>
              <w:t>c</w:t>
            </w:r>
          </w:p>
        </w:tc>
        <w:tc>
          <w:tcPr>
            <w:tcW w:w="591" w:type="pct"/>
          </w:tcPr>
          <w:p w14:paraId="61780BAA" w14:textId="7DE0A017" w:rsidR="00C756C0" w:rsidRPr="00E92C09" w:rsidRDefault="00C756C0" w:rsidP="004672DA">
            <w:pPr>
              <w:pStyle w:val="TableText"/>
              <w:jc w:val="left"/>
              <w:rPr>
                <w:b/>
                <w:bCs/>
                <w:iCs/>
                <w:color w:val="000000"/>
                <w:lang w:val="en-GB"/>
              </w:rPr>
            </w:pPr>
            <w:r w:rsidRPr="00E92C09">
              <w:rPr>
                <w:b/>
                <w:bCs/>
                <w:iCs/>
                <w:color w:val="000000"/>
                <w:lang w:val="en-GB"/>
              </w:rPr>
              <w:t>Value used in SSD</w:t>
            </w:r>
          </w:p>
        </w:tc>
      </w:tr>
      <w:tr w:rsidR="00CC08AE" w:rsidRPr="00A61E13" w14:paraId="72CA6268"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val="restart"/>
            <w:shd w:val="clear" w:color="auto" w:fill="auto"/>
          </w:tcPr>
          <w:p w14:paraId="2364593E" w14:textId="3D0A6A31" w:rsidR="00846088" w:rsidRPr="00F4074B" w:rsidRDefault="00846088" w:rsidP="004672DA">
            <w:pPr>
              <w:pStyle w:val="TableText"/>
              <w:jc w:val="left"/>
              <w:rPr>
                <w:color w:val="000000"/>
              </w:rPr>
            </w:pPr>
            <w:r>
              <w:rPr>
                <w:color w:val="000000"/>
                <w:lang w:val="en-GB"/>
              </w:rPr>
              <w:t>Insect</w:t>
            </w:r>
          </w:p>
        </w:tc>
        <w:tc>
          <w:tcPr>
            <w:tcW w:w="557" w:type="pct"/>
            <w:vMerge w:val="restart"/>
            <w:shd w:val="clear" w:color="auto" w:fill="auto"/>
          </w:tcPr>
          <w:p w14:paraId="5BC0680D" w14:textId="03743368" w:rsidR="00846088" w:rsidRPr="00F4074B" w:rsidRDefault="00846088" w:rsidP="00B257E4">
            <w:pPr>
              <w:pStyle w:val="TableText"/>
              <w:jc w:val="left"/>
              <w:rPr>
                <w:iCs/>
                <w:color w:val="000000"/>
              </w:rPr>
            </w:pPr>
            <w:r w:rsidRPr="00F4074B">
              <w:rPr>
                <w:i/>
                <w:color w:val="000000"/>
                <w:lang w:val="en-GB"/>
              </w:rPr>
              <w:t>Aedes albopictus</w:t>
            </w:r>
            <w:r w:rsidR="00B257E4">
              <w:rPr>
                <w:i/>
                <w:color w:val="000000"/>
                <w:lang w:val="en-GB"/>
              </w:rPr>
              <w:t xml:space="preserve"> </w:t>
            </w:r>
            <w:r w:rsidRPr="00713503">
              <w:rPr>
                <w:color w:val="000000"/>
              </w:rPr>
              <w:t>HAmAal strain</w:t>
            </w:r>
            <w:r w:rsidRPr="00E42077">
              <w:rPr>
                <w:i/>
                <w:iCs/>
                <w:color w:val="000000"/>
              </w:rPr>
              <w:t xml:space="preserve"> </w:t>
            </w:r>
          </w:p>
        </w:tc>
        <w:tc>
          <w:tcPr>
            <w:tcW w:w="455" w:type="pct"/>
            <w:shd w:val="clear" w:color="auto" w:fill="auto"/>
          </w:tcPr>
          <w:p w14:paraId="7F64B454" w14:textId="2A9BD8D8" w:rsidR="00846088" w:rsidRPr="00FA33D3" w:rsidRDefault="00846088" w:rsidP="004672DA">
            <w:pPr>
              <w:pStyle w:val="TableText"/>
              <w:jc w:val="left"/>
              <w:rPr>
                <w:color w:val="000000"/>
              </w:rPr>
            </w:pPr>
            <w:r w:rsidRPr="00FA33D3">
              <w:rPr>
                <w:color w:val="000000"/>
                <w:lang w:val="en-GB"/>
              </w:rPr>
              <w:t>Fourth instar larva</w:t>
            </w:r>
          </w:p>
        </w:tc>
        <w:tc>
          <w:tcPr>
            <w:tcW w:w="354" w:type="pct"/>
            <w:shd w:val="clear" w:color="auto" w:fill="auto"/>
          </w:tcPr>
          <w:p w14:paraId="5566F326" w14:textId="19090095" w:rsidR="00846088" w:rsidRPr="00F4074B" w:rsidRDefault="00846088" w:rsidP="004672DA">
            <w:pPr>
              <w:pStyle w:val="TableText"/>
              <w:jc w:val="left"/>
              <w:rPr>
                <w:color w:val="000000"/>
              </w:rPr>
            </w:pPr>
            <w:r w:rsidRPr="00F4074B">
              <w:rPr>
                <w:color w:val="000000"/>
                <w:lang w:val="en-GB"/>
              </w:rPr>
              <w:t>2</w:t>
            </w:r>
          </w:p>
        </w:tc>
        <w:tc>
          <w:tcPr>
            <w:tcW w:w="355" w:type="pct"/>
            <w:shd w:val="clear" w:color="auto" w:fill="auto"/>
          </w:tcPr>
          <w:p w14:paraId="698AE3BA" w14:textId="04958BF6" w:rsidR="00846088" w:rsidRPr="00F4074B" w:rsidRDefault="00846088" w:rsidP="004672DA">
            <w:pPr>
              <w:pStyle w:val="TableText"/>
              <w:jc w:val="left"/>
              <w:rPr>
                <w:color w:val="000000"/>
              </w:rPr>
            </w:pPr>
            <w:r w:rsidRPr="00F4074B">
              <w:rPr>
                <w:color w:val="000000"/>
                <w:lang w:val="en-GB"/>
              </w:rPr>
              <w:t>Acute</w:t>
            </w:r>
          </w:p>
        </w:tc>
        <w:tc>
          <w:tcPr>
            <w:tcW w:w="556" w:type="pct"/>
            <w:shd w:val="clear" w:color="auto" w:fill="auto"/>
          </w:tcPr>
          <w:p w14:paraId="5867A6F3" w14:textId="77777777" w:rsidR="00846088" w:rsidRDefault="00846088" w:rsidP="004672DA">
            <w:pPr>
              <w:pStyle w:val="TableText"/>
              <w:jc w:val="left"/>
              <w:rPr>
                <w:color w:val="000000"/>
                <w:lang w:val="en-GB"/>
              </w:rPr>
            </w:pPr>
            <w:r w:rsidRPr="00F4074B">
              <w:rPr>
                <w:color w:val="000000"/>
                <w:lang w:val="en-GB"/>
              </w:rPr>
              <w:t>LC50</w:t>
            </w:r>
          </w:p>
          <w:p w14:paraId="104F3821" w14:textId="1B7CA740" w:rsidR="00846088" w:rsidRPr="00F4074B" w:rsidRDefault="00846088" w:rsidP="004672DA">
            <w:pPr>
              <w:pStyle w:val="TableText"/>
              <w:jc w:val="left"/>
              <w:rPr>
                <w:color w:val="000000"/>
              </w:rPr>
            </w:pPr>
            <w:r w:rsidRPr="00F4074B">
              <w:rPr>
                <w:color w:val="000000"/>
                <w:lang w:val="en-GB"/>
              </w:rPr>
              <w:t>(Mortality)</w:t>
            </w:r>
          </w:p>
        </w:tc>
        <w:tc>
          <w:tcPr>
            <w:tcW w:w="608" w:type="pct"/>
            <w:shd w:val="clear" w:color="auto" w:fill="auto"/>
          </w:tcPr>
          <w:p w14:paraId="4A29107F" w14:textId="7016AD8D" w:rsidR="00846088" w:rsidRPr="00F4074B" w:rsidRDefault="00846088" w:rsidP="004672DA">
            <w:pPr>
              <w:pStyle w:val="TableText"/>
              <w:jc w:val="left"/>
              <w:rPr>
                <w:color w:val="000000"/>
              </w:rPr>
            </w:pPr>
            <w:r w:rsidRPr="00F4074B">
              <w:rPr>
                <w:color w:val="000000"/>
                <w:lang w:val="en-GB"/>
              </w:rPr>
              <w:t>Tap water</w:t>
            </w:r>
          </w:p>
        </w:tc>
        <w:tc>
          <w:tcPr>
            <w:tcW w:w="304" w:type="pct"/>
            <w:shd w:val="clear" w:color="auto" w:fill="auto"/>
          </w:tcPr>
          <w:p w14:paraId="246AAF0E" w14:textId="310CF7BB" w:rsidR="00846088" w:rsidRPr="00F4074B" w:rsidRDefault="00846088" w:rsidP="004672DA">
            <w:pPr>
              <w:pStyle w:val="TableText"/>
              <w:jc w:val="left"/>
              <w:rPr>
                <w:color w:val="000000"/>
              </w:rPr>
            </w:pPr>
            <w:r w:rsidRPr="00F4074B">
              <w:rPr>
                <w:color w:val="000000"/>
                <w:lang w:val="en-GB"/>
              </w:rPr>
              <w:t>26 ± 2</w:t>
            </w:r>
          </w:p>
        </w:tc>
        <w:tc>
          <w:tcPr>
            <w:tcW w:w="305" w:type="pct"/>
            <w:shd w:val="clear" w:color="auto" w:fill="auto"/>
          </w:tcPr>
          <w:p w14:paraId="2BCA7A8A" w14:textId="37DA91F6" w:rsidR="00846088" w:rsidRPr="00F4074B" w:rsidRDefault="00846088" w:rsidP="004672DA">
            <w:pPr>
              <w:pStyle w:val="TableText"/>
              <w:jc w:val="left"/>
              <w:rPr>
                <w:color w:val="000000"/>
              </w:rPr>
            </w:pPr>
            <w:r>
              <w:rPr>
                <w:color w:val="000000"/>
                <w:lang w:val="en-GB"/>
              </w:rPr>
              <w:t>–</w:t>
            </w:r>
          </w:p>
        </w:tc>
        <w:tc>
          <w:tcPr>
            <w:tcW w:w="510" w:type="pct"/>
            <w:shd w:val="clear" w:color="auto" w:fill="auto"/>
          </w:tcPr>
          <w:p w14:paraId="11CBBA6E" w14:textId="6456A143" w:rsidR="00846088" w:rsidRPr="00F4074B" w:rsidRDefault="00846088" w:rsidP="004672DA">
            <w:pPr>
              <w:pStyle w:val="TableText"/>
              <w:jc w:val="left"/>
              <w:rPr>
                <w:color w:val="000000"/>
              </w:rPr>
            </w:pPr>
            <w:r w:rsidRPr="00F4074B">
              <w:rPr>
                <w:color w:val="000000"/>
                <w:lang w:val="en-GB"/>
              </w:rPr>
              <w:t>23</w:t>
            </w:r>
          </w:p>
        </w:tc>
        <w:tc>
          <w:tcPr>
            <w:tcW w:w="591" w:type="pct"/>
            <w:shd w:val="clear" w:color="auto" w:fill="auto"/>
          </w:tcPr>
          <w:p w14:paraId="4FBBCD93" w14:textId="6A756A51" w:rsidR="00846088" w:rsidRPr="00F4074B" w:rsidRDefault="00846088" w:rsidP="004672DA">
            <w:pPr>
              <w:pStyle w:val="TableText"/>
              <w:jc w:val="left"/>
              <w:rPr>
                <w:color w:val="000000"/>
              </w:rPr>
            </w:pPr>
            <w:r w:rsidRPr="00F4074B">
              <w:rPr>
                <w:color w:val="000000"/>
                <w:lang w:val="en-GB"/>
              </w:rPr>
              <w:t>Ali et al. (1998)</w:t>
            </w:r>
          </w:p>
        </w:tc>
      </w:tr>
      <w:tr w:rsidR="00CC08AE" w:rsidRPr="00A61E13" w14:paraId="7266DB37" w14:textId="77777777" w:rsidTr="00CC08AE">
        <w:trPr>
          <w:cantSplit/>
        </w:trPr>
        <w:tc>
          <w:tcPr>
            <w:tcW w:w="405" w:type="pct"/>
            <w:vMerge/>
            <w:tcBorders>
              <w:bottom w:val="nil"/>
            </w:tcBorders>
          </w:tcPr>
          <w:p w14:paraId="599243B6" w14:textId="4DE92E63" w:rsidR="00846088" w:rsidRPr="00F4074B" w:rsidRDefault="00846088" w:rsidP="004672DA">
            <w:pPr>
              <w:pStyle w:val="TableText"/>
              <w:jc w:val="left"/>
              <w:rPr>
                <w:color w:val="000000"/>
              </w:rPr>
            </w:pPr>
          </w:p>
        </w:tc>
        <w:tc>
          <w:tcPr>
            <w:tcW w:w="557" w:type="pct"/>
            <w:vMerge/>
            <w:tcBorders>
              <w:bottom w:val="nil"/>
            </w:tcBorders>
          </w:tcPr>
          <w:p w14:paraId="5B3C74C8" w14:textId="7D842CC0" w:rsidR="00846088" w:rsidRPr="00F4074B" w:rsidRDefault="00846088" w:rsidP="004672DA">
            <w:pPr>
              <w:pStyle w:val="TableText"/>
              <w:jc w:val="left"/>
              <w:rPr>
                <w:iCs/>
                <w:color w:val="000000"/>
              </w:rPr>
            </w:pPr>
          </w:p>
        </w:tc>
        <w:tc>
          <w:tcPr>
            <w:tcW w:w="455" w:type="pct"/>
            <w:tcBorders>
              <w:bottom w:val="nil"/>
            </w:tcBorders>
          </w:tcPr>
          <w:p w14:paraId="39590A6D" w14:textId="79FC7307" w:rsidR="00846088" w:rsidRPr="00FA33D3" w:rsidRDefault="00846088" w:rsidP="004672DA">
            <w:pPr>
              <w:pStyle w:val="TableText"/>
              <w:jc w:val="left"/>
              <w:rPr>
                <w:color w:val="000000"/>
              </w:rPr>
            </w:pPr>
            <w:r w:rsidRPr="00FA33D3">
              <w:rPr>
                <w:color w:val="000000"/>
                <w:lang w:val="en-GB"/>
              </w:rPr>
              <w:t>First instar larva</w:t>
            </w:r>
          </w:p>
        </w:tc>
        <w:tc>
          <w:tcPr>
            <w:tcW w:w="354" w:type="pct"/>
            <w:tcBorders>
              <w:bottom w:val="nil"/>
            </w:tcBorders>
          </w:tcPr>
          <w:p w14:paraId="27F1D569" w14:textId="34CBAD1D" w:rsidR="00846088" w:rsidRPr="00F4074B" w:rsidRDefault="00846088" w:rsidP="004672DA">
            <w:pPr>
              <w:pStyle w:val="TableText"/>
              <w:jc w:val="left"/>
              <w:rPr>
                <w:color w:val="000000"/>
              </w:rPr>
            </w:pPr>
            <w:r w:rsidRPr="00F4074B">
              <w:rPr>
                <w:color w:val="000000"/>
                <w:lang w:val="en-GB"/>
              </w:rPr>
              <w:t>2</w:t>
            </w:r>
          </w:p>
        </w:tc>
        <w:tc>
          <w:tcPr>
            <w:tcW w:w="355" w:type="pct"/>
            <w:tcBorders>
              <w:bottom w:val="nil"/>
            </w:tcBorders>
          </w:tcPr>
          <w:p w14:paraId="0394E082" w14:textId="0D0229DE" w:rsidR="00846088" w:rsidRPr="00F4074B" w:rsidRDefault="00846088" w:rsidP="004672DA">
            <w:pPr>
              <w:pStyle w:val="TableText"/>
              <w:jc w:val="left"/>
              <w:rPr>
                <w:color w:val="000000"/>
              </w:rPr>
            </w:pPr>
            <w:r w:rsidRPr="00F4074B">
              <w:rPr>
                <w:color w:val="000000"/>
                <w:lang w:val="en-GB"/>
              </w:rPr>
              <w:t>Acute</w:t>
            </w:r>
          </w:p>
        </w:tc>
        <w:tc>
          <w:tcPr>
            <w:tcW w:w="556" w:type="pct"/>
            <w:tcBorders>
              <w:bottom w:val="nil"/>
            </w:tcBorders>
          </w:tcPr>
          <w:p w14:paraId="76761198" w14:textId="77777777" w:rsidR="00846088" w:rsidRDefault="00846088" w:rsidP="004672DA">
            <w:pPr>
              <w:pStyle w:val="TableText"/>
              <w:jc w:val="left"/>
              <w:rPr>
                <w:color w:val="000000"/>
                <w:lang w:val="en-GB"/>
              </w:rPr>
            </w:pPr>
            <w:r w:rsidRPr="00F4074B">
              <w:rPr>
                <w:color w:val="000000"/>
                <w:lang w:val="en-GB"/>
              </w:rPr>
              <w:t>LC50</w:t>
            </w:r>
          </w:p>
          <w:p w14:paraId="01759A05" w14:textId="2A8DDF5E" w:rsidR="00846088" w:rsidRPr="00F4074B" w:rsidRDefault="00846088" w:rsidP="004672DA">
            <w:pPr>
              <w:pStyle w:val="TableText"/>
              <w:jc w:val="left"/>
              <w:rPr>
                <w:color w:val="000000"/>
              </w:rPr>
            </w:pPr>
            <w:r w:rsidRPr="00F4074B">
              <w:rPr>
                <w:color w:val="000000"/>
                <w:lang w:val="en-GB"/>
              </w:rPr>
              <w:t>(Mortality)</w:t>
            </w:r>
          </w:p>
        </w:tc>
        <w:tc>
          <w:tcPr>
            <w:tcW w:w="608" w:type="pct"/>
            <w:tcBorders>
              <w:bottom w:val="nil"/>
            </w:tcBorders>
          </w:tcPr>
          <w:p w14:paraId="17A26D89" w14:textId="357CA39B" w:rsidR="00846088" w:rsidRPr="00F4074B" w:rsidRDefault="00846088" w:rsidP="004672DA">
            <w:pPr>
              <w:pStyle w:val="TableText"/>
              <w:jc w:val="left"/>
              <w:rPr>
                <w:color w:val="000000"/>
              </w:rPr>
            </w:pPr>
            <w:r w:rsidRPr="00F4074B">
              <w:rPr>
                <w:color w:val="000000"/>
                <w:lang w:val="en-GB"/>
              </w:rPr>
              <w:t>Tap water</w:t>
            </w:r>
          </w:p>
        </w:tc>
        <w:tc>
          <w:tcPr>
            <w:tcW w:w="304" w:type="pct"/>
            <w:tcBorders>
              <w:bottom w:val="nil"/>
            </w:tcBorders>
          </w:tcPr>
          <w:p w14:paraId="4D50F1B1" w14:textId="099D46A8" w:rsidR="00846088" w:rsidRPr="00F4074B" w:rsidRDefault="00846088" w:rsidP="004672DA">
            <w:pPr>
              <w:pStyle w:val="TableText"/>
              <w:jc w:val="left"/>
              <w:rPr>
                <w:color w:val="000000"/>
              </w:rPr>
            </w:pPr>
            <w:r w:rsidRPr="00F4074B">
              <w:rPr>
                <w:color w:val="000000"/>
                <w:lang w:val="en-GB"/>
              </w:rPr>
              <w:t>26 ± 2</w:t>
            </w:r>
          </w:p>
        </w:tc>
        <w:tc>
          <w:tcPr>
            <w:tcW w:w="305" w:type="pct"/>
            <w:tcBorders>
              <w:bottom w:val="nil"/>
            </w:tcBorders>
          </w:tcPr>
          <w:p w14:paraId="3554FF3C" w14:textId="64D5C1FC" w:rsidR="00846088" w:rsidRPr="00F4074B" w:rsidRDefault="00846088" w:rsidP="004672DA">
            <w:pPr>
              <w:pStyle w:val="TableText"/>
              <w:jc w:val="left"/>
              <w:rPr>
                <w:color w:val="000000"/>
              </w:rPr>
            </w:pPr>
            <w:r>
              <w:rPr>
                <w:color w:val="000000"/>
                <w:lang w:val="en-GB"/>
              </w:rPr>
              <w:t>–</w:t>
            </w:r>
          </w:p>
        </w:tc>
        <w:tc>
          <w:tcPr>
            <w:tcW w:w="510" w:type="pct"/>
          </w:tcPr>
          <w:p w14:paraId="18D0808F" w14:textId="79A8CA44" w:rsidR="00846088" w:rsidRPr="00F4074B" w:rsidRDefault="00846088" w:rsidP="004672DA">
            <w:pPr>
              <w:pStyle w:val="TableText"/>
              <w:jc w:val="left"/>
              <w:rPr>
                <w:color w:val="000000"/>
              </w:rPr>
            </w:pPr>
            <w:r w:rsidRPr="00F4074B">
              <w:rPr>
                <w:color w:val="000000"/>
                <w:lang w:val="en-GB"/>
              </w:rPr>
              <w:t>8.1</w:t>
            </w:r>
          </w:p>
        </w:tc>
        <w:tc>
          <w:tcPr>
            <w:tcW w:w="591" w:type="pct"/>
          </w:tcPr>
          <w:p w14:paraId="11E0A6AC" w14:textId="5B649740" w:rsidR="00846088" w:rsidRPr="00F4074B" w:rsidRDefault="00846088" w:rsidP="004672DA">
            <w:pPr>
              <w:pStyle w:val="TableText"/>
              <w:jc w:val="left"/>
              <w:rPr>
                <w:color w:val="000000"/>
              </w:rPr>
            </w:pPr>
            <w:r w:rsidRPr="00F4074B">
              <w:rPr>
                <w:color w:val="000000"/>
                <w:lang w:val="en-GB"/>
              </w:rPr>
              <w:t>Ali et al. (1998)</w:t>
            </w:r>
          </w:p>
        </w:tc>
      </w:tr>
      <w:tr w:rsidR="00C756C0" w:rsidRPr="00A61E13" w14:paraId="6F3B887F"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vMerge w:val="restart"/>
            <w:tcBorders>
              <w:top w:val="nil"/>
            </w:tcBorders>
            <w:shd w:val="clear" w:color="auto" w:fill="auto"/>
          </w:tcPr>
          <w:p w14:paraId="23E4A4B5" w14:textId="54C76700" w:rsidR="00C756C0" w:rsidRPr="00F4074B" w:rsidRDefault="00C756C0" w:rsidP="004672DA">
            <w:pPr>
              <w:pStyle w:val="TableText"/>
              <w:jc w:val="left"/>
              <w:rPr>
                <w:color w:val="000000"/>
              </w:rPr>
            </w:pPr>
            <w:r>
              <w:rPr>
                <w:color w:val="000000"/>
              </w:rPr>
              <w:t>–</w:t>
            </w:r>
          </w:p>
        </w:tc>
        <w:tc>
          <w:tcPr>
            <w:tcW w:w="510" w:type="pct"/>
            <w:shd w:val="clear" w:color="auto" w:fill="auto"/>
          </w:tcPr>
          <w:p w14:paraId="158F8B59" w14:textId="38687F3A" w:rsidR="00C756C0" w:rsidRPr="00E92C09" w:rsidRDefault="00C756C0" w:rsidP="004672DA">
            <w:pPr>
              <w:pStyle w:val="TableText"/>
              <w:jc w:val="left"/>
              <w:rPr>
                <w:i/>
                <w:iCs/>
                <w:color w:val="000000"/>
              </w:rPr>
            </w:pPr>
            <w:r w:rsidRPr="00E92C09">
              <w:rPr>
                <w:i/>
                <w:iCs/>
                <w:color w:val="000000"/>
                <w:lang w:val="en-GB"/>
              </w:rPr>
              <w:t>13.65</w:t>
            </w:r>
          </w:p>
        </w:tc>
        <w:tc>
          <w:tcPr>
            <w:tcW w:w="591" w:type="pct"/>
            <w:shd w:val="clear" w:color="auto" w:fill="auto"/>
          </w:tcPr>
          <w:p w14:paraId="3EE195C5" w14:textId="6DBE9B86" w:rsidR="00C756C0" w:rsidRPr="00F4074B" w:rsidRDefault="00C756C0" w:rsidP="004672DA">
            <w:pPr>
              <w:pStyle w:val="TableText"/>
              <w:jc w:val="left"/>
              <w:rPr>
                <w:color w:val="000000"/>
              </w:rPr>
            </w:pPr>
            <w:r w:rsidRPr="00F4074B">
              <w:rPr>
                <w:i/>
                <w:color w:val="000000"/>
                <w:lang w:val="en-GB"/>
              </w:rPr>
              <w:t>Geometric mean</w:t>
            </w:r>
          </w:p>
        </w:tc>
      </w:tr>
      <w:tr w:rsidR="00C756C0" w:rsidRPr="00A61E13" w14:paraId="4E03C3EF" w14:textId="77777777" w:rsidTr="00CC08AE">
        <w:trPr>
          <w:cantSplit/>
        </w:trPr>
        <w:tc>
          <w:tcPr>
            <w:tcW w:w="3899" w:type="pct"/>
            <w:gridSpan w:val="9"/>
            <w:vMerge/>
          </w:tcPr>
          <w:p w14:paraId="3D3D65EF" w14:textId="5F2BFAD4" w:rsidR="00C756C0" w:rsidRPr="00F4074B" w:rsidRDefault="00C756C0" w:rsidP="004672DA">
            <w:pPr>
              <w:pStyle w:val="TableText"/>
              <w:jc w:val="left"/>
              <w:rPr>
                <w:color w:val="000000"/>
              </w:rPr>
            </w:pPr>
          </w:p>
        </w:tc>
        <w:tc>
          <w:tcPr>
            <w:tcW w:w="510" w:type="pct"/>
          </w:tcPr>
          <w:p w14:paraId="777C4555" w14:textId="0CD7B633" w:rsidR="00C756C0" w:rsidRPr="00F4074B" w:rsidRDefault="00C756C0" w:rsidP="004672DA">
            <w:pPr>
              <w:pStyle w:val="TableText"/>
              <w:jc w:val="left"/>
              <w:rPr>
                <w:i/>
                <w:color w:val="000000"/>
              </w:rPr>
            </w:pPr>
            <w:r w:rsidRPr="00E92C09">
              <w:rPr>
                <w:b/>
                <w:bCs/>
                <w:color w:val="000000"/>
                <w:lang w:val="en-GB"/>
              </w:rPr>
              <w:t>1.36</w:t>
            </w:r>
            <w:r w:rsidR="00B257E4">
              <w:rPr>
                <w:b/>
                <w:bCs/>
                <w:color w:val="000000"/>
                <w:lang w:val="en-GB"/>
              </w:rPr>
              <w:t>5</w:t>
            </w:r>
            <w:r>
              <w:rPr>
                <w:color w:val="000000"/>
                <w:lang w:val="en-GB"/>
              </w:rPr>
              <w:t xml:space="preserve"> </w:t>
            </w:r>
            <w:r w:rsidRPr="00C64456">
              <w:rPr>
                <w:rStyle w:val="Strong"/>
                <w:vertAlign w:val="superscript"/>
              </w:rPr>
              <w:t>c</w:t>
            </w:r>
          </w:p>
        </w:tc>
        <w:tc>
          <w:tcPr>
            <w:tcW w:w="591" w:type="pct"/>
          </w:tcPr>
          <w:p w14:paraId="757CC0F7" w14:textId="6C185A32" w:rsidR="00C756C0" w:rsidRPr="00E92C09" w:rsidRDefault="00C756C0" w:rsidP="004672DA">
            <w:pPr>
              <w:pStyle w:val="TableText"/>
              <w:jc w:val="left"/>
              <w:rPr>
                <w:b/>
                <w:bCs/>
                <w:iCs/>
                <w:color w:val="000000"/>
              </w:rPr>
            </w:pPr>
            <w:r>
              <w:rPr>
                <w:b/>
                <w:bCs/>
                <w:iCs/>
                <w:color w:val="000000"/>
                <w:lang w:val="en-GB"/>
              </w:rPr>
              <w:t>V</w:t>
            </w:r>
            <w:r w:rsidRPr="00E92C09">
              <w:rPr>
                <w:b/>
                <w:bCs/>
                <w:iCs/>
                <w:color w:val="000000"/>
                <w:lang w:val="en-GB"/>
              </w:rPr>
              <w:t>alue used in SSD</w:t>
            </w:r>
          </w:p>
        </w:tc>
      </w:tr>
      <w:tr w:rsidR="00CC08AE" w:rsidRPr="00A61E13" w14:paraId="7A031919"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38C4B666" w14:textId="1AFC6BED" w:rsidR="00846088" w:rsidRPr="00F4074B" w:rsidRDefault="00846088" w:rsidP="004672DA">
            <w:pPr>
              <w:pStyle w:val="TableText"/>
              <w:jc w:val="left"/>
              <w:rPr>
                <w:color w:val="000000"/>
              </w:rPr>
            </w:pPr>
            <w:r>
              <w:rPr>
                <w:color w:val="000000"/>
                <w:lang w:val="en-GB"/>
              </w:rPr>
              <w:t>Insect</w:t>
            </w:r>
          </w:p>
        </w:tc>
        <w:tc>
          <w:tcPr>
            <w:tcW w:w="557" w:type="pct"/>
            <w:tcBorders>
              <w:bottom w:val="nil"/>
            </w:tcBorders>
            <w:shd w:val="clear" w:color="auto" w:fill="auto"/>
          </w:tcPr>
          <w:p w14:paraId="6D963128" w14:textId="666CA3EB" w:rsidR="00846088" w:rsidRPr="00F4074B" w:rsidRDefault="00846088" w:rsidP="004672DA">
            <w:pPr>
              <w:pStyle w:val="TableText"/>
              <w:jc w:val="left"/>
              <w:rPr>
                <w:iCs/>
                <w:color w:val="000000"/>
              </w:rPr>
            </w:pPr>
            <w:r w:rsidRPr="00F4074B">
              <w:rPr>
                <w:i/>
                <w:color w:val="000000"/>
                <w:lang w:val="en-GB"/>
              </w:rPr>
              <w:t>Aedes taeniorhynchus</w:t>
            </w:r>
          </w:p>
        </w:tc>
        <w:tc>
          <w:tcPr>
            <w:tcW w:w="455" w:type="pct"/>
            <w:tcBorders>
              <w:bottom w:val="nil"/>
            </w:tcBorders>
            <w:shd w:val="clear" w:color="auto" w:fill="auto"/>
          </w:tcPr>
          <w:p w14:paraId="35E8C97D" w14:textId="74DF97E5" w:rsidR="00846088" w:rsidRPr="00F4074B" w:rsidRDefault="00846088" w:rsidP="004672DA">
            <w:pPr>
              <w:pStyle w:val="TableText"/>
              <w:jc w:val="left"/>
              <w:rPr>
                <w:color w:val="000000"/>
              </w:rPr>
            </w:pPr>
            <w:r w:rsidRPr="00F4074B">
              <w:rPr>
                <w:color w:val="000000"/>
                <w:lang w:val="en-GB"/>
              </w:rPr>
              <w:t>Fo</w:t>
            </w:r>
            <w:r>
              <w:rPr>
                <w:color w:val="000000"/>
                <w:lang w:val="en-GB"/>
              </w:rPr>
              <w:t>u</w:t>
            </w:r>
            <w:r w:rsidRPr="00F4074B">
              <w:rPr>
                <w:color w:val="000000"/>
                <w:lang w:val="en-GB"/>
              </w:rPr>
              <w:t>rth instar larva</w:t>
            </w:r>
          </w:p>
        </w:tc>
        <w:tc>
          <w:tcPr>
            <w:tcW w:w="354" w:type="pct"/>
            <w:tcBorders>
              <w:bottom w:val="nil"/>
            </w:tcBorders>
            <w:shd w:val="clear" w:color="auto" w:fill="auto"/>
          </w:tcPr>
          <w:p w14:paraId="3E8680ED" w14:textId="218F7A74" w:rsidR="00846088" w:rsidRPr="00F4074B" w:rsidRDefault="00846088" w:rsidP="004672DA">
            <w:pPr>
              <w:pStyle w:val="TableText"/>
              <w:jc w:val="left"/>
              <w:rPr>
                <w:color w:val="000000"/>
              </w:rPr>
            </w:pPr>
            <w:r w:rsidRPr="00F4074B">
              <w:rPr>
                <w:color w:val="000000"/>
                <w:lang w:val="en-GB"/>
              </w:rPr>
              <w:t>2</w:t>
            </w:r>
          </w:p>
        </w:tc>
        <w:tc>
          <w:tcPr>
            <w:tcW w:w="355" w:type="pct"/>
            <w:tcBorders>
              <w:bottom w:val="nil"/>
            </w:tcBorders>
            <w:shd w:val="clear" w:color="auto" w:fill="auto"/>
          </w:tcPr>
          <w:p w14:paraId="490CC6A2" w14:textId="5135BA06" w:rsidR="00846088" w:rsidRPr="00F4074B" w:rsidRDefault="00846088" w:rsidP="004672DA">
            <w:pPr>
              <w:pStyle w:val="TableText"/>
              <w:jc w:val="left"/>
              <w:rPr>
                <w:color w:val="000000"/>
              </w:rPr>
            </w:pPr>
            <w:r w:rsidRPr="00F4074B">
              <w:rPr>
                <w:color w:val="000000"/>
                <w:lang w:val="en-GB"/>
              </w:rPr>
              <w:t>Acute</w:t>
            </w:r>
          </w:p>
        </w:tc>
        <w:tc>
          <w:tcPr>
            <w:tcW w:w="556" w:type="pct"/>
            <w:tcBorders>
              <w:bottom w:val="nil"/>
            </w:tcBorders>
            <w:shd w:val="clear" w:color="auto" w:fill="auto"/>
          </w:tcPr>
          <w:p w14:paraId="7A0CB622" w14:textId="77777777" w:rsidR="00846088" w:rsidRDefault="00846088" w:rsidP="004672DA">
            <w:pPr>
              <w:pStyle w:val="TableText"/>
              <w:jc w:val="left"/>
              <w:rPr>
                <w:color w:val="000000"/>
                <w:lang w:val="en-GB"/>
              </w:rPr>
            </w:pPr>
            <w:r w:rsidRPr="00F4074B">
              <w:rPr>
                <w:color w:val="000000"/>
                <w:lang w:val="en-GB"/>
              </w:rPr>
              <w:t>LC50</w:t>
            </w:r>
          </w:p>
          <w:p w14:paraId="0A2D1A15" w14:textId="54B42C83" w:rsidR="00846088" w:rsidRPr="00F4074B" w:rsidRDefault="00846088" w:rsidP="004672DA">
            <w:pPr>
              <w:pStyle w:val="TableText"/>
              <w:jc w:val="left"/>
              <w:rPr>
                <w:color w:val="000000"/>
              </w:rPr>
            </w:pPr>
            <w:r w:rsidRPr="00F4074B">
              <w:rPr>
                <w:color w:val="000000"/>
                <w:lang w:val="en-GB"/>
              </w:rPr>
              <w:t>(Mortality)</w:t>
            </w:r>
          </w:p>
        </w:tc>
        <w:tc>
          <w:tcPr>
            <w:tcW w:w="608" w:type="pct"/>
            <w:tcBorders>
              <w:bottom w:val="nil"/>
            </w:tcBorders>
            <w:shd w:val="clear" w:color="auto" w:fill="auto"/>
          </w:tcPr>
          <w:p w14:paraId="7F4E5A50" w14:textId="10F19598" w:rsidR="00846088" w:rsidRPr="00F4074B" w:rsidRDefault="00846088" w:rsidP="004672DA">
            <w:pPr>
              <w:pStyle w:val="TableText"/>
              <w:jc w:val="left"/>
              <w:rPr>
                <w:color w:val="000000"/>
              </w:rPr>
            </w:pPr>
            <w:r w:rsidRPr="00F4074B">
              <w:rPr>
                <w:color w:val="000000"/>
                <w:lang w:val="en-GB"/>
              </w:rPr>
              <w:t>Tap water</w:t>
            </w:r>
          </w:p>
        </w:tc>
        <w:tc>
          <w:tcPr>
            <w:tcW w:w="304" w:type="pct"/>
            <w:tcBorders>
              <w:bottom w:val="nil"/>
            </w:tcBorders>
            <w:shd w:val="clear" w:color="auto" w:fill="auto"/>
          </w:tcPr>
          <w:p w14:paraId="7BEBA239" w14:textId="1F04A3A4" w:rsidR="00846088" w:rsidRPr="00F4074B" w:rsidRDefault="00846088" w:rsidP="004672DA">
            <w:pPr>
              <w:pStyle w:val="TableText"/>
              <w:jc w:val="left"/>
              <w:rPr>
                <w:color w:val="000000"/>
              </w:rPr>
            </w:pPr>
            <w:r w:rsidRPr="00F4074B">
              <w:rPr>
                <w:color w:val="000000"/>
                <w:lang w:val="en-GB"/>
              </w:rPr>
              <w:t>26 ± 2</w:t>
            </w:r>
          </w:p>
        </w:tc>
        <w:tc>
          <w:tcPr>
            <w:tcW w:w="305" w:type="pct"/>
            <w:tcBorders>
              <w:bottom w:val="nil"/>
            </w:tcBorders>
            <w:shd w:val="clear" w:color="auto" w:fill="auto"/>
          </w:tcPr>
          <w:p w14:paraId="19BB6BF5" w14:textId="40D3347C" w:rsidR="00846088" w:rsidRPr="00F4074B" w:rsidRDefault="00846088" w:rsidP="004672DA">
            <w:pPr>
              <w:pStyle w:val="TableText"/>
              <w:jc w:val="left"/>
              <w:rPr>
                <w:color w:val="000000"/>
              </w:rPr>
            </w:pPr>
            <w:r>
              <w:rPr>
                <w:color w:val="000000"/>
                <w:lang w:val="en-GB"/>
              </w:rPr>
              <w:t>–</w:t>
            </w:r>
          </w:p>
        </w:tc>
        <w:tc>
          <w:tcPr>
            <w:tcW w:w="510" w:type="pct"/>
            <w:shd w:val="clear" w:color="auto" w:fill="auto"/>
          </w:tcPr>
          <w:p w14:paraId="4629443C" w14:textId="645B0E0A" w:rsidR="00846088" w:rsidRPr="00F4074B" w:rsidRDefault="00846088" w:rsidP="004672DA">
            <w:pPr>
              <w:pStyle w:val="TableText"/>
              <w:jc w:val="left"/>
              <w:rPr>
                <w:color w:val="000000"/>
              </w:rPr>
            </w:pPr>
            <w:r w:rsidRPr="00F4074B">
              <w:rPr>
                <w:color w:val="000000"/>
                <w:lang w:val="en-GB"/>
              </w:rPr>
              <w:t>0.43</w:t>
            </w:r>
          </w:p>
        </w:tc>
        <w:tc>
          <w:tcPr>
            <w:tcW w:w="591" w:type="pct"/>
            <w:shd w:val="clear" w:color="auto" w:fill="auto"/>
          </w:tcPr>
          <w:p w14:paraId="382B8E69" w14:textId="14368B93" w:rsidR="00846088" w:rsidRPr="00F4074B" w:rsidRDefault="00846088" w:rsidP="004672DA">
            <w:pPr>
              <w:pStyle w:val="TableText"/>
              <w:jc w:val="left"/>
              <w:rPr>
                <w:color w:val="000000"/>
              </w:rPr>
            </w:pPr>
            <w:r w:rsidRPr="00F4074B">
              <w:rPr>
                <w:color w:val="000000"/>
                <w:lang w:val="en-GB"/>
              </w:rPr>
              <w:t>Ali et al. (1998)</w:t>
            </w:r>
          </w:p>
        </w:tc>
      </w:tr>
      <w:tr w:rsidR="00C52BA4" w:rsidRPr="00A61E13" w14:paraId="7020EBF2" w14:textId="77777777" w:rsidTr="00CC08AE">
        <w:trPr>
          <w:cantSplit/>
        </w:trPr>
        <w:tc>
          <w:tcPr>
            <w:tcW w:w="3899" w:type="pct"/>
            <w:gridSpan w:val="9"/>
            <w:tcBorders>
              <w:top w:val="nil"/>
            </w:tcBorders>
          </w:tcPr>
          <w:p w14:paraId="467EB73E" w14:textId="46136808" w:rsidR="00C52BA4" w:rsidRPr="00F4074B" w:rsidRDefault="00C52BA4" w:rsidP="004672DA">
            <w:pPr>
              <w:pStyle w:val="TableText"/>
              <w:jc w:val="left"/>
              <w:rPr>
                <w:color w:val="000000"/>
              </w:rPr>
            </w:pPr>
            <w:r>
              <w:rPr>
                <w:color w:val="000000"/>
              </w:rPr>
              <w:t>–</w:t>
            </w:r>
          </w:p>
        </w:tc>
        <w:tc>
          <w:tcPr>
            <w:tcW w:w="510" w:type="pct"/>
          </w:tcPr>
          <w:p w14:paraId="0648AFC7" w14:textId="1C079F76" w:rsidR="00C52BA4" w:rsidRPr="00F4074B" w:rsidRDefault="00C52BA4" w:rsidP="004672DA">
            <w:pPr>
              <w:pStyle w:val="TableText"/>
              <w:jc w:val="left"/>
              <w:rPr>
                <w:color w:val="000000"/>
              </w:rPr>
            </w:pPr>
            <w:r w:rsidRPr="007259B3">
              <w:rPr>
                <w:b/>
                <w:bCs/>
                <w:color w:val="000000"/>
                <w:lang w:val="en-GB"/>
              </w:rPr>
              <w:t>0.043</w:t>
            </w:r>
            <w:r>
              <w:rPr>
                <w:color w:val="000000"/>
                <w:lang w:val="en-GB"/>
              </w:rPr>
              <w:t xml:space="preserve"> </w:t>
            </w:r>
            <w:r w:rsidRPr="00C64456">
              <w:rPr>
                <w:rStyle w:val="Strong"/>
                <w:vertAlign w:val="superscript"/>
              </w:rPr>
              <w:t>c</w:t>
            </w:r>
          </w:p>
        </w:tc>
        <w:tc>
          <w:tcPr>
            <w:tcW w:w="591" w:type="pct"/>
          </w:tcPr>
          <w:p w14:paraId="2D8C0823" w14:textId="26355FFC" w:rsidR="00C52BA4" w:rsidRPr="007259B3" w:rsidRDefault="00C52BA4" w:rsidP="00550386">
            <w:pPr>
              <w:pStyle w:val="TableText"/>
              <w:jc w:val="left"/>
              <w:rPr>
                <w:b/>
                <w:bCs/>
                <w:iCs/>
                <w:color w:val="000000"/>
              </w:rPr>
            </w:pPr>
            <w:r w:rsidRPr="007259B3">
              <w:rPr>
                <w:b/>
                <w:bCs/>
                <w:iCs/>
                <w:color w:val="000000"/>
                <w:lang w:val="en-GB"/>
              </w:rPr>
              <w:t>Value used in SSD</w:t>
            </w:r>
          </w:p>
        </w:tc>
      </w:tr>
      <w:tr w:rsidR="00CC08AE" w:rsidRPr="00A61E13" w14:paraId="51A27B77"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77751281" w14:textId="2B477D2D" w:rsidR="00846088" w:rsidRPr="00F4074B" w:rsidRDefault="00846088" w:rsidP="004672DA">
            <w:pPr>
              <w:pStyle w:val="TableText"/>
              <w:jc w:val="left"/>
              <w:rPr>
                <w:color w:val="000000"/>
              </w:rPr>
            </w:pPr>
            <w:r>
              <w:rPr>
                <w:color w:val="000000"/>
                <w:lang w:val="en-GB"/>
              </w:rPr>
              <w:t>Insect</w:t>
            </w:r>
          </w:p>
        </w:tc>
        <w:tc>
          <w:tcPr>
            <w:tcW w:w="557" w:type="pct"/>
            <w:tcBorders>
              <w:bottom w:val="nil"/>
            </w:tcBorders>
            <w:shd w:val="clear" w:color="auto" w:fill="auto"/>
          </w:tcPr>
          <w:p w14:paraId="6153E67B" w14:textId="415561BA" w:rsidR="00846088" w:rsidRPr="00F4074B" w:rsidRDefault="00846088" w:rsidP="004672DA">
            <w:pPr>
              <w:pStyle w:val="TableText"/>
              <w:jc w:val="left"/>
              <w:rPr>
                <w:iCs/>
                <w:color w:val="000000"/>
              </w:rPr>
            </w:pPr>
            <w:r w:rsidRPr="00F4074B">
              <w:rPr>
                <w:i/>
                <w:color w:val="000000"/>
                <w:lang w:val="en-GB"/>
              </w:rPr>
              <w:t>AnopheIes quadrimaculatus</w:t>
            </w:r>
          </w:p>
        </w:tc>
        <w:tc>
          <w:tcPr>
            <w:tcW w:w="455" w:type="pct"/>
            <w:tcBorders>
              <w:bottom w:val="nil"/>
            </w:tcBorders>
            <w:shd w:val="clear" w:color="auto" w:fill="auto"/>
          </w:tcPr>
          <w:p w14:paraId="6ABDF431" w14:textId="38D9FF56" w:rsidR="00846088" w:rsidRPr="00F4074B" w:rsidRDefault="00846088" w:rsidP="004672DA">
            <w:pPr>
              <w:pStyle w:val="TableText"/>
              <w:jc w:val="left"/>
              <w:rPr>
                <w:color w:val="000000"/>
              </w:rPr>
            </w:pPr>
            <w:r w:rsidRPr="00F4074B">
              <w:rPr>
                <w:color w:val="000000"/>
                <w:lang w:val="en-GB"/>
              </w:rPr>
              <w:t>Fo</w:t>
            </w:r>
            <w:r>
              <w:rPr>
                <w:color w:val="000000"/>
                <w:lang w:val="en-GB"/>
              </w:rPr>
              <w:t>u</w:t>
            </w:r>
            <w:r w:rsidRPr="00F4074B">
              <w:rPr>
                <w:color w:val="000000"/>
                <w:lang w:val="en-GB"/>
              </w:rPr>
              <w:t>rth instar larva</w:t>
            </w:r>
          </w:p>
        </w:tc>
        <w:tc>
          <w:tcPr>
            <w:tcW w:w="354" w:type="pct"/>
            <w:tcBorders>
              <w:bottom w:val="nil"/>
            </w:tcBorders>
            <w:shd w:val="clear" w:color="auto" w:fill="auto"/>
          </w:tcPr>
          <w:p w14:paraId="144DF124" w14:textId="20C1B00E" w:rsidR="00846088" w:rsidRPr="00F4074B" w:rsidRDefault="00846088" w:rsidP="004672DA">
            <w:pPr>
              <w:pStyle w:val="TableText"/>
              <w:jc w:val="left"/>
              <w:rPr>
                <w:color w:val="000000"/>
              </w:rPr>
            </w:pPr>
            <w:r w:rsidRPr="00F4074B">
              <w:rPr>
                <w:color w:val="000000"/>
                <w:lang w:val="en-GB"/>
              </w:rPr>
              <w:t>2</w:t>
            </w:r>
          </w:p>
        </w:tc>
        <w:tc>
          <w:tcPr>
            <w:tcW w:w="355" w:type="pct"/>
            <w:tcBorders>
              <w:bottom w:val="nil"/>
            </w:tcBorders>
            <w:shd w:val="clear" w:color="auto" w:fill="auto"/>
          </w:tcPr>
          <w:p w14:paraId="0D28B6CA" w14:textId="021ED197" w:rsidR="00846088" w:rsidRPr="00F4074B" w:rsidRDefault="00846088" w:rsidP="004672DA">
            <w:pPr>
              <w:pStyle w:val="TableText"/>
              <w:jc w:val="left"/>
              <w:rPr>
                <w:color w:val="000000"/>
              </w:rPr>
            </w:pPr>
            <w:r w:rsidRPr="00F4074B">
              <w:rPr>
                <w:color w:val="000000"/>
                <w:lang w:val="en-GB"/>
              </w:rPr>
              <w:t>Acute</w:t>
            </w:r>
          </w:p>
        </w:tc>
        <w:tc>
          <w:tcPr>
            <w:tcW w:w="556" w:type="pct"/>
            <w:tcBorders>
              <w:bottom w:val="nil"/>
            </w:tcBorders>
            <w:shd w:val="clear" w:color="auto" w:fill="auto"/>
          </w:tcPr>
          <w:p w14:paraId="24B3AAE4" w14:textId="77777777" w:rsidR="00846088" w:rsidRDefault="00846088" w:rsidP="004672DA">
            <w:pPr>
              <w:pStyle w:val="TableText"/>
              <w:jc w:val="left"/>
              <w:rPr>
                <w:color w:val="000000"/>
                <w:lang w:val="en-GB"/>
              </w:rPr>
            </w:pPr>
            <w:r w:rsidRPr="00F4074B">
              <w:rPr>
                <w:color w:val="000000"/>
                <w:lang w:val="en-GB"/>
              </w:rPr>
              <w:t>LC50</w:t>
            </w:r>
          </w:p>
          <w:p w14:paraId="6DF92C83" w14:textId="1BAFAB19" w:rsidR="00846088" w:rsidRPr="00F4074B" w:rsidRDefault="00846088" w:rsidP="004672DA">
            <w:pPr>
              <w:pStyle w:val="TableText"/>
              <w:jc w:val="left"/>
              <w:rPr>
                <w:color w:val="000000"/>
              </w:rPr>
            </w:pPr>
            <w:r w:rsidRPr="00F4074B">
              <w:rPr>
                <w:color w:val="000000"/>
                <w:lang w:val="en-GB"/>
              </w:rPr>
              <w:t>(Mortality)</w:t>
            </w:r>
          </w:p>
        </w:tc>
        <w:tc>
          <w:tcPr>
            <w:tcW w:w="608" w:type="pct"/>
            <w:tcBorders>
              <w:bottom w:val="nil"/>
            </w:tcBorders>
            <w:shd w:val="clear" w:color="auto" w:fill="auto"/>
          </w:tcPr>
          <w:p w14:paraId="0B2D8239" w14:textId="39562C41" w:rsidR="00846088" w:rsidRPr="00F4074B" w:rsidRDefault="00846088" w:rsidP="004672DA">
            <w:pPr>
              <w:pStyle w:val="TableText"/>
              <w:jc w:val="left"/>
              <w:rPr>
                <w:color w:val="000000"/>
              </w:rPr>
            </w:pPr>
            <w:r w:rsidRPr="00F4074B">
              <w:rPr>
                <w:color w:val="000000"/>
                <w:lang w:val="en-GB"/>
              </w:rPr>
              <w:t>Tap water</w:t>
            </w:r>
          </w:p>
        </w:tc>
        <w:tc>
          <w:tcPr>
            <w:tcW w:w="304" w:type="pct"/>
            <w:tcBorders>
              <w:bottom w:val="nil"/>
            </w:tcBorders>
            <w:shd w:val="clear" w:color="auto" w:fill="auto"/>
          </w:tcPr>
          <w:p w14:paraId="6BE97615" w14:textId="39EC9A1F" w:rsidR="00846088" w:rsidRPr="00F4074B" w:rsidRDefault="00846088" w:rsidP="004672DA">
            <w:pPr>
              <w:pStyle w:val="TableText"/>
              <w:jc w:val="left"/>
              <w:rPr>
                <w:color w:val="000000"/>
              </w:rPr>
            </w:pPr>
            <w:r w:rsidRPr="00F4074B">
              <w:rPr>
                <w:color w:val="000000"/>
                <w:lang w:val="en-GB"/>
              </w:rPr>
              <w:t>26 ± 2</w:t>
            </w:r>
          </w:p>
        </w:tc>
        <w:tc>
          <w:tcPr>
            <w:tcW w:w="305" w:type="pct"/>
            <w:tcBorders>
              <w:bottom w:val="nil"/>
            </w:tcBorders>
            <w:shd w:val="clear" w:color="auto" w:fill="auto"/>
          </w:tcPr>
          <w:p w14:paraId="7663F85D" w14:textId="1E255D16" w:rsidR="00846088" w:rsidRPr="00F4074B" w:rsidRDefault="00846088" w:rsidP="004672DA">
            <w:pPr>
              <w:pStyle w:val="TableText"/>
              <w:jc w:val="left"/>
              <w:rPr>
                <w:color w:val="000000"/>
              </w:rPr>
            </w:pPr>
            <w:r>
              <w:rPr>
                <w:color w:val="000000"/>
                <w:lang w:val="en-GB"/>
              </w:rPr>
              <w:t>–</w:t>
            </w:r>
          </w:p>
        </w:tc>
        <w:tc>
          <w:tcPr>
            <w:tcW w:w="510" w:type="pct"/>
            <w:shd w:val="clear" w:color="auto" w:fill="auto"/>
          </w:tcPr>
          <w:p w14:paraId="743C07FC" w14:textId="1777C739" w:rsidR="00846088" w:rsidRPr="00F4074B" w:rsidRDefault="00846088" w:rsidP="004672DA">
            <w:pPr>
              <w:pStyle w:val="TableText"/>
              <w:jc w:val="left"/>
              <w:rPr>
                <w:color w:val="000000"/>
              </w:rPr>
            </w:pPr>
            <w:r w:rsidRPr="00F4074B">
              <w:rPr>
                <w:color w:val="000000"/>
                <w:lang w:val="en-GB"/>
              </w:rPr>
              <w:t>0.43</w:t>
            </w:r>
          </w:p>
        </w:tc>
        <w:tc>
          <w:tcPr>
            <w:tcW w:w="591" w:type="pct"/>
            <w:shd w:val="clear" w:color="auto" w:fill="auto"/>
          </w:tcPr>
          <w:p w14:paraId="3E0B46A8" w14:textId="69229EE9" w:rsidR="00846088" w:rsidRPr="00F4074B" w:rsidRDefault="00846088" w:rsidP="004672DA">
            <w:pPr>
              <w:pStyle w:val="TableText"/>
              <w:jc w:val="left"/>
              <w:rPr>
                <w:color w:val="000000"/>
              </w:rPr>
            </w:pPr>
            <w:r w:rsidRPr="00F4074B">
              <w:rPr>
                <w:color w:val="000000"/>
                <w:lang w:val="en-GB"/>
              </w:rPr>
              <w:t>Ali et al. (1998)</w:t>
            </w:r>
          </w:p>
        </w:tc>
      </w:tr>
      <w:tr w:rsidR="002F6266" w:rsidRPr="00A61E13" w14:paraId="0B58BE59" w14:textId="77777777" w:rsidTr="00CC08AE">
        <w:trPr>
          <w:cantSplit/>
        </w:trPr>
        <w:tc>
          <w:tcPr>
            <w:tcW w:w="3899" w:type="pct"/>
            <w:gridSpan w:val="9"/>
            <w:tcBorders>
              <w:top w:val="nil"/>
            </w:tcBorders>
          </w:tcPr>
          <w:p w14:paraId="54437FD7" w14:textId="3485DD5C" w:rsidR="002F6266" w:rsidRPr="00F4074B" w:rsidRDefault="002F6266" w:rsidP="004672DA">
            <w:pPr>
              <w:pStyle w:val="TableText"/>
              <w:jc w:val="left"/>
              <w:rPr>
                <w:color w:val="000000"/>
              </w:rPr>
            </w:pPr>
            <w:r>
              <w:rPr>
                <w:color w:val="000000"/>
              </w:rPr>
              <w:t>–</w:t>
            </w:r>
          </w:p>
        </w:tc>
        <w:tc>
          <w:tcPr>
            <w:tcW w:w="510" w:type="pct"/>
          </w:tcPr>
          <w:p w14:paraId="3C8C4880" w14:textId="6926983B" w:rsidR="002F6266" w:rsidRPr="00F4074B" w:rsidRDefault="002F6266" w:rsidP="004672DA">
            <w:pPr>
              <w:pStyle w:val="TableText"/>
              <w:jc w:val="left"/>
              <w:rPr>
                <w:color w:val="000000"/>
              </w:rPr>
            </w:pPr>
            <w:r w:rsidRPr="007259B3">
              <w:rPr>
                <w:b/>
                <w:bCs/>
                <w:color w:val="000000"/>
                <w:lang w:val="en-GB"/>
              </w:rPr>
              <w:t>0.043</w:t>
            </w:r>
            <w:r>
              <w:rPr>
                <w:color w:val="000000"/>
                <w:lang w:val="en-GB"/>
              </w:rPr>
              <w:t xml:space="preserve"> </w:t>
            </w:r>
            <w:r w:rsidRPr="007259B3">
              <w:rPr>
                <w:rStyle w:val="Strong"/>
                <w:vertAlign w:val="superscript"/>
              </w:rPr>
              <w:t>c</w:t>
            </w:r>
          </w:p>
        </w:tc>
        <w:tc>
          <w:tcPr>
            <w:tcW w:w="591" w:type="pct"/>
          </w:tcPr>
          <w:p w14:paraId="6CC637D4" w14:textId="61F34B0E" w:rsidR="002F6266" w:rsidRPr="007259B3" w:rsidRDefault="002F6266" w:rsidP="004672DA">
            <w:pPr>
              <w:pStyle w:val="TableText"/>
              <w:jc w:val="left"/>
              <w:rPr>
                <w:b/>
                <w:bCs/>
                <w:iCs/>
                <w:color w:val="000000"/>
              </w:rPr>
            </w:pPr>
            <w:r w:rsidRPr="007259B3">
              <w:rPr>
                <w:b/>
                <w:bCs/>
                <w:iCs/>
                <w:color w:val="000000"/>
                <w:lang w:val="en-GB"/>
              </w:rPr>
              <w:t>Value used in SSD</w:t>
            </w:r>
          </w:p>
        </w:tc>
      </w:tr>
      <w:tr w:rsidR="00CC08AE" w:rsidRPr="00A61E13" w14:paraId="1E674924"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015A3952" w14:textId="3D23F171" w:rsidR="00846088" w:rsidRPr="00F4074B" w:rsidRDefault="00846088" w:rsidP="004672DA">
            <w:pPr>
              <w:pStyle w:val="TableText"/>
              <w:jc w:val="left"/>
              <w:rPr>
                <w:color w:val="000000"/>
              </w:rPr>
            </w:pPr>
            <w:r>
              <w:rPr>
                <w:color w:val="000000"/>
                <w:lang w:val="en-GB"/>
              </w:rPr>
              <w:t>Insect</w:t>
            </w:r>
          </w:p>
        </w:tc>
        <w:tc>
          <w:tcPr>
            <w:tcW w:w="557" w:type="pct"/>
            <w:tcBorders>
              <w:bottom w:val="nil"/>
            </w:tcBorders>
            <w:shd w:val="clear" w:color="auto" w:fill="auto"/>
          </w:tcPr>
          <w:p w14:paraId="7D55BB67" w14:textId="46FE0442" w:rsidR="00846088" w:rsidRPr="00F4074B" w:rsidRDefault="00846088" w:rsidP="004672DA">
            <w:pPr>
              <w:pStyle w:val="TableText"/>
              <w:jc w:val="left"/>
              <w:rPr>
                <w:iCs/>
                <w:color w:val="000000"/>
              </w:rPr>
            </w:pPr>
            <w:r w:rsidRPr="00F4074B">
              <w:rPr>
                <w:i/>
                <w:color w:val="000000"/>
                <w:lang w:val="en-GB"/>
              </w:rPr>
              <w:t>Chaoborus crystallinus</w:t>
            </w:r>
          </w:p>
        </w:tc>
        <w:tc>
          <w:tcPr>
            <w:tcW w:w="455" w:type="pct"/>
            <w:tcBorders>
              <w:bottom w:val="nil"/>
            </w:tcBorders>
            <w:shd w:val="clear" w:color="auto" w:fill="auto"/>
          </w:tcPr>
          <w:p w14:paraId="5D035C99" w14:textId="1F5C1E77" w:rsidR="00846088" w:rsidRPr="00F4074B" w:rsidRDefault="00846088" w:rsidP="004672DA">
            <w:pPr>
              <w:pStyle w:val="TableText"/>
              <w:jc w:val="left"/>
              <w:rPr>
                <w:color w:val="000000"/>
              </w:rPr>
            </w:pPr>
            <w:r w:rsidRPr="00F4074B">
              <w:rPr>
                <w:color w:val="000000"/>
                <w:lang w:val="en-GB"/>
              </w:rPr>
              <w:t>Larva</w:t>
            </w:r>
          </w:p>
        </w:tc>
        <w:tc>
          <w:tcPr>
            <w:tcW w:w="354" w:type="pct"/>
            <w:tcBorders>
              <w:bottom w:val="nil"/>
            </w:tcBorders>
            <w:shd w:val="clear" w:color="auto" w:fill="auto"/>
          </w:tcPr>
          <w:p w14:paraId="65043A76" w14:textId="10674539" w:rsidR="00846088" w:rsidRPr="00F4074B" w:rsidRDefault="00846088" w:rsidP="004672DA">
            <w:pPr>
              <w:pStyle w:val="TableText"/>
              <w:jc w:val="left"/>
              <w:rPr>
                <w:color w:val="000000"/>
              </w:rPr>
            </w:pPr>
            <w:r w:rsidRPr="00F4074B">
              <w:rPr>
                <w:color w:val="000000"/>
                <w:lang w:val="en-GB"/>
              </w:rPr>
              <w:t>2</w:t>
            </w:r>
          </w:p>
        </w:tc>
        <w:tc>
          <w:tcPr>
            <w:tcW w:w="355" w:type="pct"/>
            <w:tcBorders>
              <w:bottom w:val="nil"/>
            </w:tcBorders>
            <w:shd w:val="clear" w:color="auto" w:fill="auto"/>
          </w:tcPr>
          <w:p w14:paraId="6E43BBBF" w14:textId="052E09B9" w:rsidR="00846088" w:rsidRPr="00F4074B" w:rsidRDefault="00846088" w:rsidP="004672DA">
            <w:pPr>
              <w:pStyle w:val="TableText"/>
              <w:jc w:val="left"/>
              <w:rPr>
                <w:color w:val="000000"/>
              </w:rPr>
            </w:pPr>
            <w:r w:rsidRPr="00F4074B">
              <w:rPr>
                <w:color w:val="000000"/>
                <w:lang w:val="en-GB"/>
              </w:rPr>
              <w:t>Acute</w:t>
            </w:r>
          </w:p>
        </w:tc>
        <w:tc>
          <w:tcPr>
            <w:tcW w:w="556" w:type="pct"/>
            <w:tcBorders>
              <w:bottom w:val="nil"/>
            </w:tcBorders>
            <w:shd w:val="clear" w:color="auto" w:fill="auto"/>
          </w:tcPr>
          <w:p w14:paraId="63E0905F" w14:textId="77777777" w:rsidR="00846088" w:rsidRDefault="00846088" w:rsidP="004672DA">
            <w:pPr>
              <w:pStyle w:val="TableText"/>
              <w:jc w:val="left"/>
              <w:rPr>
                <w:color w:val="000000"/>
                <w:lang w:val="en-GB"/>
              </w:rPr>
            </w:pPr>
            <w:r w:rsidRPr="00F4074B">
              <w:rPr>
                <w:color w:val="000000"/>
                <w:lang w:val="en-GB"/>
              </w:rPr>
              <w:t>LC50</w:t>
            </w:r>
          </w:p>
          <w:p w14:paraId="37868A65" w14:textId="390F6A53" w:rsidR="00846088" w:rsidRPr="00F4074B" w:rsidRDefault="00846088" w:rsidP="004672DA">
            <w:pPr>
              <w:pStyle w:val="TableText"/>
              <w:jc w:val="left"/>
              <w:rPr>
                <w:color w:val="000000"/>
              </w:rPr>
            </w:pPr>
            <w:r w:rsidRPr="00F4074B">
              <w:rPr>
                <w:color w:val="000000"/>
                <w:lang w:val="en-GB"/>
              </w:rPr>
              <w:t>(Mortality)</w:t>
            </w:r>
          </w:p>
        </w:tc>
        <w:tc>
          <w:tcPr>
            <w:tcW w:w="608" w:type="pct"/>
            <w:tcBorders>
              <w:bottom w:val="nil"/>
            </w:tcBorders>
            <w:shd w:val="clear" w:color="auto" w:fill="auto"/>
          </w:tcPr>
          <w:p w14:paraId="3F780FD8" w14:textId="61AA337E" w:rsidR="00846088" w:rsidRPr="00F4074B" w:rsidRDefault="00846088" w:rsidP="004672DA">
            <w:pPr>
              <w:pStyle w:val="TableText"/>
              <w:jc w:val="left"/>
              <w:rPr>
                <w:color w:val="000000"/>
              </w:rPr>
            </w:pPr>
            <w:r w:rsidRPr="00F4074B">
              <w:rPr>
                <w:color w:val="000000"/>
                <w:lang w:val="en-GB"/>
              </w:rPr>
              <w:t>Dechlorinated tap water</w:t>
            </w:r>
          </w:p>
        </w:tc>
        <w:tc>
          <w:tcPr>
            <w:tcW w:w="304" w:type="pct"/>
            <w:tcBorders>
              <w:bottom w:val="nil"/>
            </w:tcBorders>
            <w:shd w:val="clear" w:color="auto" w:fill="auto"/>
          </w:tcPr>
          <w:p w14:paraId="7C04B26C" w14:textId="64414EE6" w:rsidR="00846088" w:rsidRPr="00F4074B" w:rsidRDefault="00846088" w:rsidP="004672DA">
            <w:pPr>
              <w:pStyle w:val="TableText"/>
              <w:jc w:val="left"/>
              <w:rPr>
                <w:color w:val="000000"/>
              </w:rPr>
            </w:pPr>
            <w:r w:rsidRPr="00F4074B">
              <w:rPr>
                <w:color w:val="000000"/>
                <w:lang w:val="en-GB"/>
              </w:rPr>
              <w:t>25</w:t>
            </w:r>
          </w:p>
        </w:tc>
        <w:tc>
          <w:tcPr>
            <w:tcW w:w="305" w:type="pct"/>
            <w:tcBorders>
              <w:bottom w:val="nil"/>
            </w:tcBorders>
            <w:shd w:val="clear" w:color="auto" w:fill="auto"/>
          </w:tcPr>
          <w:p w14:paraId="5B3DDB15" w14:textId="387CC5BE" w:rsidR="00846088" w:rsidRPr="00F4074B" w:rsidRDefault="00846088" w:rsidP="004672DA">
            <w:pPr>
              <w:pStyle w:val="TableText"/>
              <w:jc w:val="left"/>
              <w:rPr>
                <w:color w:val="000000"/>
              </w:rPr>
            </w:pPr>
            <w:r w:rsidRPr="00F4074B">
              <w:rPr>
                <w:color w:val="000000"/>
                <w:lang w:val="en-GB"/>
              </w:rPr>
              <w:t>7.5</w:t>
            </w:r>
          </w:p>
        </w:tc>
        <w:tc>
          <w:tcPr>
            <w:tcW w:w="510" w:type="pct"/>
            <w:shd w:val="clear" w:color="auto" w:fill="auto"/>
          </w:tcPr>
          <w:p w14:paraId="6F0AAC96" w14:textId="25BACAFD" w:rsidR="00846088" w:rsidRPr="00F4074B" w:rsidRDefault="00846088" w:rsidP="004672DA">
            <w:pPr>
              <w:pStyle w:val="TableText"/>
              <w:jc w:val="left"/>
              <w:rPr>
                <w:color w:val="000000"/>
              </w:rPr>
            </w:pPr>
            <w:r w:rsidRPr="00F4074B">
              <w:rPr>
                <w:color w:val="000000"/>
                <w:lang w:val="en-GB"/>
              </w:rPr>
              <w:t>646.3</w:t>
            </w:r>
          </w:p>
        </w:tc>
        <w:tc>
          <w:tcPr>
            <w:tcW w:w="591" w:type="pct"/>
            <w:shd w:val="clear" w:color="auto" w:fill="auto"/>
          </w:tcPr>
          <w:p w14:paraId="078BEF48" w14:textId="0A0A11E6" w:rsidR="00846088" w:rsidRPr="00F4074B" w:rsidRDefault="00846088" w:rsidP="004672DA">
            <w:pPr>
              <w:pStyle w:val="TableText"/>
              <w:jc w:val="left"/>
              <w:rPr>
                <w:color w:val="000000"/>
              </w:rPr>
            </w:pPr>
            <w:r w:rsidRPr="00F4074B">
              <w:rPr>
                <w:color w:val="000000"/>
                <w:lang w:val="en-GB"/>
              </w:rPr>
              <w:t>Chaton et al. (2002)</w:t>
            </w:r>
          </w:p>
        </w:tc>
      </w:tr>
      <w:tr w:rsidR="00550386" w:rsidRPr="00A61E13" w14:paraId="4F584D01" w14:textId="77777777" w:rsidTr="00CC08AE">
        <w:trPr>
          <w:cantSplit/>
        </w:trPr>
        <w:tc>
          <w:tcPr>
            <w:tcW w:w="3899" w:type="pct"/>
            <w:gridSpan w:val="9"/>
            <w:tcBorders>
              <w:top w:val="nil"/>
            </w:tcBorders>
          </w:tcPr>
          <w:p w14:paraId="0947C632" w14:textId="1D6FF0C6" w:rsidR="00550386" w:rsidRPr="00F4074B" w:rsidRDefault="00C52BA4" w:rsidP="004672DA">
            <w:pPr>
              <w:pStyle w:val="TableText"/>
              <w:jc w:val="left"/>
              <w:rPr>
                <w:color w:val="000000"/>
              </w:rPr>
            </w:pPr>
            <w:r>
              <w:rPr>
                <w:color w:val="000000"/>
              </w:rPr>
              <w:t>–</w:t>
            </w:r>
          </w:p>
        </w:tc>
        <w:tc>
          <w:tcPr>
            <w:tcW w:w="510" w:type="pct"/>
          </w:tcPr>
          <w:p w14:paraId="218B1EB5" w14:textId="3CC69D5D" w:rsidR="00550386" w:rsidRPr="00F4074B" w:rsidRDefault="00550386" w:rsidP="004672DA">
            <w:pPr>
              <w:pStyle w:val="TableText"/>
              <w:jc w:val="left"/>
              <w:rPr>
                <w:color w:val="000000"/>
              </w:rPr>
            </w:pPr>
            <w:r w:rsidRPr="007259B3">
              <w:rPr>
                <w:b/>
                <w:bCs/>
                <w:color w:val="000000"/>
                <w:lang w:val="en-GB"/>
              </w:rPr>
              <w:t>64.6</w:t>
            </w:r>
            <w:r>
              <w:rPr>
                <w:color w:val="000000"/>
                <w:lang w:val="en-GB"/>
              </w:rPr>
              <w:t xml:space="preserve"> </w:t>
            </w:r>
            <w:r w:rsidRPr="00C64456">
              <w:rPr>
                <w:rStyle w:val="Strong"/>
                <w:vertAlign w:val="superscript"/>
              </w:rPr>
              <w:t>c</w:t>
            </w:r>
          </w:p>
        </w:tc>
        <w:tc>
          <w:tcPr>
            <w:tcW w:w="591" w:type="pct"/>
          </w:tcPr>
          <w:p w14:paraId="7125B9DD" w14:textId="5AAD1A15" w:rsidR="00550386" w:rsidRPr="007259B3" w:rsidRDefault="00550386" w:rsidP="004672DA">
            <w:pPr>
              <w:pStyle w:val="TableText"/>
              <w:jc w:val="left"/>
              <w:rPr>
                <w:b/>
                <w:bCs/>
                <w:iCs/>
                <w:color w:val="000000"/>
              </w:rPr>
            </w:pPr>
            <w:r w:rsidRPr="007259B3">
              <w:rPr>
                <w:b/>
                <w:bCs/>
                <w:iCs/>
                <w:color w:val="000000"/>
                <w:lang w:val="en-GB"/>
              </w:rPr>
              <w:t>Value used in SSD</w:t>
            </w:r>
          </w:p>
        </w:tc>
      </w:tr>
      <w:tr w:rsidR="00CC08AE" w:rsidRPr="00A61E13" w14:paraId="7F22840E"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504DEB48" w14:textId="30DC9DC4" w:rsidR="00846088" w:rsidRPr="00F4074B" w:rsidRDefault="00846088" w:rsidP="004672DA">
            <w:pPr>
              <w:pStyle w:val="TableText"/>
              <w:jc w:val="left"/>
              <w:rPr>
                <w:color w:val="000000"/>
              </w:rPr>
            </w:pPr>
            <w:r>
              <w:rPr>
                <w:color w:val="000000"/>
                <w:lang w:val="en-GB"/>
              </w:rPr>
              <w:t>Insect</w:t>
            </w:r>
          </w:p>
        </w:tc>
        <w:tc>
          <w:tcPr>
            <w:tcW w:w="557" w:type="pct"/>
            <w:tcBorders>
              <w:bottom w:val="nil"/>
            </w:tcBorders>
            <w:shd w:val="clear" w:color="auto" w:fill="auto"/>
          </w:tcPr>
          <w:p w14:paraId="58480A56" w14:textId="65B7D1C9" w:rsidR="00846088" w:rsidRPr="00F4074B" w:rsidRDefault="00846088" w:rsidP="004672DA">
            <w:pPr>
              <w:pStyle w:val="TableText"/>
              <w:jc w:val="left"/>
              <w:rPr>
                <w:iCs/>
                <w:color w:val="000000"/>
              </w:rPr>
            </w:pPr>
            <w:r w:rsidRPr="00F4074B">
              <w:rPr>
                <w:i/>
                <w:color w:val="000000"/>
                <w:lang w:val="en-GB"/>
              </w:rPr>
              <w:t>Cheumatopsyche brevilineata</w:t>
            </w:r>
          </w:p>
        </w:tc>
        <w:tc>
          <w:tcPr>
            <w:tcW w:w="455" w:type="pct"/>
            <w:tcBorders>
              <w:bottom w:val="nil"/>
            </w:tcBorders>
            <w:shd w:val="clear" w:color="auto" w:fill="auto"/>
          </w:tcPr>
          <w:p w14:paraId="5EC175A2" w14:textId="78C57770" w:rsidR="00846088" w:rsidRPr="00F4074B" w:rsidRDefault="00846088" w:rsidP="004672DA">
            <w:pPr>
              <w:pStyle w:val="TableText"/>
              <w:jc w:val="left"/>
              <w:rPr>
                <w:color w:val="000000"/>
              </w:rPr>
            </w:pPr>
            <w:r w:rsidRPr="00F4074B">
              <w:rPr>
                <w:color w:val="000000"/>
                <w:lang w:val="en-GB"/>
              </w:rPr>
              <w:t>First instar larva</w:t>
            </w:r>
          </w:p>
        </w:tc>
        <w:tc>
          <w:tcPr>
            <w:tcW w:w="354" w:type="pct"/>
            <w:tcBorders>
              <w:bottom w:val="nil"/>
            </w:tcBorders>
            <w:shd w:val="clear" w:color="auto" w:fill="auto"/>
          </w:tcPr>
          <w:p w14:paraId="3ECAB360" w14:textId="0DCFAD0C" w:rsidR="00846088" w:rsidRPr="00F4074B" w:rsidRDefault="00846088" w:rsidP="004672DA">
            <w:pPr>
              <w:pStyle w:val="TableText"/>
              <w:jc w:val="left"/>
              <w:rPr>
                <w:color w:val="000000"/>
              </w:rPr>
            </w:pPr>
            <w:r w:rsidRPr="00F4074B">
              <w:rPr>
                <w:color w:val="000000"/>
                <w:lang w:val="en-GB"/>
              </w:rPr>
              <w:t>2</w:t>
            </w:r>
          </w:p>
        </w:tc>
        <w:tc>
          <w:tcPr>
            <w:tcW w:w="355" w:type="pct"/>
            <w:tcBorders>
              <w:bottom w:val="nil"/>
            </w:tcBorders>
            <w:shd w:val="clear" w:color="auto" w:fill="auto"/>
          </w:tcPr>
          <w:p w14:paraId="01503675" w14:textId="75F09C73" w:rsidR="00846088" w:rsidRPr="00F4074B" w:rsidRDefault="00846088" w:rsidP="004672DA">
            <w:pPr>
              <w:pStyle w:val="TableText"/>
              <w:jc w:val="left"/>
              <w:rPr>
                <w:color w:val="000000"/>
              </w:rPr>
            </w:pPr>
            <w:r w:rsidRPr="00F4074B">
              <w:rPr>
                <w:color w:val="000000"/>
                <w:lang w:val="en-GB"/>
              </w:rPr>
              <w:t>Acute</w:t>
            </w:r>
          </w:p>
        </w:tc>
        <w:tc>
          <w:tcPr>
            <w:tcW w:w="556" w:type="pct"/>
            <w:tcBorders>
              <w:bottom w:val="nil"/>
            </w:tcBorders>
            <w:shd w:val="clear" w:color="auto" w:fill="auto"/>
          </w:tcPr>
          <w:p w14:paraId="753647BD" w14:textId="77777777" w:rsidR="00846088" w:rsidRDefault="00846088" w:rsidP="004672DA">
            <w:pPr>
              <w:pStyle w:val="TableText"/>
              <w:jc w:val="left"/>
              <w:rPr>
                <w:color w:val="000000"/>
                <w:lang w:val="en-GB"/>
              </w:rPr>
            </w:pPr>
            <w:r w:rsidRPr="00F4074B">
              <w:rPr>
                <w:color w:val="000000"/>
                <w:lang w:val="en-GB"/>
              </w:rPr>
              <w:t>LC50</w:t>
            </w:r>
          </w:p>
          <w:p w14:paraId="7D45CC0A" w14:textId="3DBE0605" w:rsidR="00846088" w:rsidRPr="00F4074B" w:rsidRDefault="00846088" w:rsidP="004672DA">
            <w:pPr>
              <w:pStyle w:val="TableText"/>
              <w:jc w:val="left"/>
              <w:rPr>
                <w:color w:val="000000"/>
              </w:rPr>
            </w:pPr>
            <w:r w:rsidRPr="00F4074B">
              <w:rPr>
                <w:color w:val="000000"/>
                <w:lang w:val="en-GB"/>
              </w:rPr>
              <w:t>(</w:t>
            </w:r>
            <w:r w:rsidR="00B257E4" w:rsidRPr="00B257E4">
              <w:rPr>
                <w:color w:val="000000"/>
                <w:lang w:val="en-GB"/>
              </w:rPr>
              <w:t>Immobilisation</w:t>
            </w:r>
            <w:r w:rsidR="00B257E4">
              <w:rPr>
                <w:color w:val="000000"/>
                <w:lang w:val="en-GB"/>
              </w:rPr>
              <w:t>)</w:t>
            </w:r>
          </w:p>
        </w:tc>
        <w:tc>
          <w:tcPr>
            <w:tcW w:w="608" w:type="pct"/>
            <w:tcBorders>
              <w:bottom w:val="nil"/>
            </w:tcBorders>
            <w:shd w:val="clear" w:color="auto" w:fill="auto"/>
          </w:tcPr>
          <w:p w14:paraId="79B19BE8" w14:textId="0EBC1274" w:rsidR="00846088" w:rsidRPr="00F4074B" w:rsidRDefault="00846088" w:rsidP="004672DA">
            <w:pPr>
              <w:pStyle w:val="TableText"/>
              <w:jc w:val="left"/>
              <w:rPr>
                <w:color w:val="000000"/>
              </w:rPr>
            </w:pPr>
            <w:r w:rsidRPr="00F4074B">
              <w:rPr>
                <w:color w:val="000000"/>
                <w:lang w:val="en-GB"/>
              </w:rPr>
              <w:t>Dechlorinated tap water</w:t>
            </w:r>
          </w:p>
        </w:tc>
        <w:tc>
          <w:tcPr>
            <w:tcW w:w="304" w:type="pct"/>
            <w:tcBorders>
              <w:bottom w:val="nil"/>
            </w:tcBorders>
            <w:shd w:val="clear" w:color="auto" w:fill="auto"/>
          </w:tcPr>
          <w:p w14:paraId="2DB71DD3" w14:textId="234E6FBE" w:rsidR="00846088" w:rsidRPr="00F4074B" w:rsidRDefault="00846088" w:rsidP="004672DA">
            <w:pPr>
              <w:pStyle w:val="TableText"/>
              <w:jc w:val="left"/>
              <w:rPr>
                <w:color w:val="000000"/>
              </w:rPr>
            </w:pPr>
            <w:r w:rsidRPr="00F4074B">
              <w:rPr>
                <w:color w:val="000000"/>
                <w:lang w:val="en-GB"/>
              </w:rPr>
              <w:t>20</w:t>
            </w:r>
          </w:p>
        </w:tc>
        <w:tc>
          <w:tcPr>
            <w:tcW w:w="305" w:type="pct"/>
            <w:tcBorders>
              <w:bottom w:val="nil"/>
            </w:tcBorders>
            <w:shd w:val="clear" w:color="auto" w:fill="auto"/>
          </w:tcPr>
          <w:p w14:paraId="64FFFBF2" w14:textId="1321856C" w:rsidR="00846088" w:rsidRPr="00F4074B" w:rsidRDefault="00846088" w:rsidP="004672DA">
            <w:pPr>
              <w:pStyle w:val="TableText"/>
              <w:jc w:val="left"/>
              <w:rPr>
                <w:color w:val="000000"/>
              </w:rPr>
            </w:pPr>
            <w:r w:rsidRPr="00F4074B">
              <w:rPr>
                <w:color w:val="000000"/>
                <w:lang w:val="en-GB"/>
              </w:rPr>
              <w:t>7.5</w:t>
            </w:r>
          </w:p>
        </w:tc>
        <w:tc>
          <w:tcPr>
            <w:tcW w:w="510" w:type="pct"/>
            <w:shd w:val="clear" w:color="auto" w:fill="auto"/>
          </w:tcPr>
          <w:p w14:paraId="4B715A04" w14:textId="080838F5" w:rsidR="00846088" w:rsidRPr="00F4074B" w:rsidRDefault="00846088" w:rsidP="004672DA">
            <w:pPr>
              <w:pStyle w:val="TableText"/>
              <w:jc w:val="left"/>
              <w:rPr>
                <w:color w:val="000000"/>
              </w:rPr>
            </w:pPr>
            <w:r w:rsidRPr="00F4074B">
              <w:rPr>
                <w:color w:val="000000"/>
                <w:lang w:val="en-GB"/>
              </w:rPr>
              <w:t>0.153</w:t>
            </w:r>
          </w:p>
        </w:tc>
        <w:tc>
          <w:tcPr>
            <w:tcW w:w="591" w:type="pct"/>
            <w:shd w:val="clear" w:color="auto" w:fill="auto"/>
          </w:tcPr>
          <w:p w14:paraId="569722E5" w14:textId="3E7DD5BD" w:rsidR="00846088" w:rsidRPr="00F4074B" w:rsidRDefault="00846088" w:rsidP="004672DA">
            <w:pPr>
              <w:pStyle w:val="TableText"/>
              <w:jc w:val="left"/>
              <w:rPr>
                <w:color w:val="000000"/>
              </w:rPr>
            </w:pPr>
            <w:r w:rsidRPr="00F4074B">
              <w:rPr>
                <w:color w:val="000000"/>
                <w:lang w:val="en-GB"/>
              </w:rPr>
              <w:t>Yokoyama et al. (2009)</w:t>
            </w:r>
          </w:p>
        </w:tc>
      </w:tr>
      <w:tr w:rsidR="00550386" w:rsidRPr="00A61E13" w14:paraId="61782BAC" w14:textId="77777777" w:rsidTr="00CC08AE">
        <w:trPr>
          <w:cantSplit/>
        </w:trPr>
        <w:tc>
          <w:tcPr>
            <w:tcW w:w="3899" w:type="pct"/>
            <w:gridSpan w:val="9"/>
            <w:tcBorders>
              <w:top w:val="nil"/>
            </w:tcBorders>
          </w:tcPr>
          <w:p w14:paraId="1593D3FD" w14:textId="2842C1A0" w:rsidR="00550386" w:rsidRPr="00F4074B" w:rsidRDefault="00C52BA4" w:rsidP="004672DA">
            <w:pPr>
              <w:pStyle w:val="TableText"/>
              <w:jc w:val="left"/>
              <w:rPr>
                <w:color w:val="000000"/>
              </w:rPr>
            </w:pPr>
            <w:r>
              <w:rPr>
                <w:color w:val="000000"/>
              </w:rPr>
              <w:t>–</w:t>
            </w:r>
          </w:p>
        </w:tc>
        <w:tc>
          <w:tcPr>
            <w:tcW w:w="510" w:type="pct"/>
          </w:tcPr>
          <w:p w14:paraId="633850AC" w14:textId="293F54A2" w:rsidR="00550386" w:rsidRPr="00F4074B" w:rsidRDefault="00550386" w:rsidP="004672DA">
            <w:pPr>
              <w:pStyle w:val="TableText"/>
              <w:jc w:val="left"/>
              <w:rPr>
                <w:color w:val="000000"/>
              </w:rPr>
            </w:pPr>
            <w:r w:rsidRPr="007259B3">
              <w:rPr>
                <w:b/>
                <w:bCs/>
                <w:color w:val="000000"/>
                <w:lang w:val="en-GB"/>
              </w:rPr>
              <w:t>0.0153</w:t>
            </w:r>
            <w:r>
              <w:rPr>
                <w:color w:val="000000"/>
                <w:lang w:val="en-GB"/>
              </w:rPr>
              <w:t xml:space="preserve"> </w:t>
            </w:r>
            <w:r w:rsidRPr="00C64456">
              <w:rPr>
                <w:rStyle w:val="Strong"/>
                <w:vertAlign w:val="superscript"/>
              </w:rPr>
              <w:t>c</w:t>
            </w:r>
          </w:p>
        </w:tc>
        <w:tc>
          <w:tcPr>
            <w:tcW w:w="591" w:type="pct"/>
          </w:tcPr>
          <w:p w14:paraId="027BC66E" w14:textId="753761CA" w:rsidR="00550386" w:rsidRPr="007259B3" w:rsidRDefault="00550386" w:rsidP="004672DA">
            <w:pPr>
              <w:pStyle w:val="TableText"/>
              <w:jc w:val="left"/>
              <w:rPr>
                <w:b/>
                <w:bCs/>
                <w:iCs/>
                <w:color w:val="000000"/>
              </w:rPr>
            </w:pPr>
            <w:r w:rsidRPr="007259B3">
              <w:rPr>
                <w:b/>
                <w:bCs/>
                <w:iCs/>
                <w:color w:val="000000"/>
                <w:lang w:val="en-GB"/>
              </w:rPr>
              <w:t>Value used in SSD</w:t>
            </w:r>
          </w:p>
        </w:tc>
      </w:tr>
      <w:tr w:rsidR="00CC08AE" w:rsidRPr="00A61E13" w14:paraId="04C6D3C6"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09B2080B" w14:textId="0B56A77D" w:rsidR="00846088" w:rsidRPr="00F4074B" w:rsidRDefault="00846088" w:rsidP="004672DA">
            <w:pPr>
              <w:pStyle w:val="TableText"/>
              <w:jc w:val="left"/>
              <w:rPr>
                <w:color w:val="000000"/>
              </w:rPr>
            </w:pPr>
            <w:r>
              <w:rPr>
                <w:color w:val="000000"/>
                <w:lang w:val="en-GB"/>
              </w:rPr>
              <w:lastRenderedPageBreak/>
              <w:t>Insect</w:t>
            </w:r>
          </w:p>
        </w:tc>
        <w:tc>
          <w:tcPr>
            <w:tcW w:w="557" w:type="pct"/>
            <w:tcBorders>
              <w:bottom w:val="nil"/>
            </w:tcBorders>
            <w:shd w:val="clear" w:color="auto" w:fill="auto"/>
          </w:tcPr>
          <w:p w14:paraId="0DEB4D9D" w14:textId="7E365F7A" w:rsidR="00846088" w:rsidRPr="00F4074B" w:rsidRDefault="00846088" w:rsidP="004672DA">
            <w:pPr>
              <w:pStyle w:val="TableText"/>
              <w:jc w:val="left"/>
              <w:rPr>
                <w:iCs/>
                <w:color w:val="000000"/>
              </w:rPr>
            </w:pPr>
            <w:r w:rsidRPr="00F4074B">
              <w:rPr>
                <w:i/>
                <w:color w:val="000000"/>
                <w:lang w:val="en-GB"/>
              </w:rPr>
              <w:t>Chironomus annularius</w:t>
            </w:r>
          </w:p>
        </w:tc>
        <w:tc>
          <w:tcPr>
            <w:tcW w:w="455" w:type="pct"/>
            <w:tcBorders>
              <w:bottom w:val="nil"/>
            </w:tcBorders>
            <w:shd w:val="clear" w:color="auto" w:fill="auto"/>
          </w:tcPr>
          <w:p w14:paraId="170D3BAE" w14:textId="4D7A8B89" w:rsidR="00846088" w:rsidRPr="00F4074B" w:rsidRDefault="00846088" w:rsidP="004672DA">
            <w:pPr>
              <w:pStyle w:val="TableText"/>
              <w:jc w:val="left"/>
              <w:rPr>
                <w:color w:val="000000"/>
              </w:rPr>
            </w:pPr>
            <w:r w:rsidRPr="00F4074B">
              <w:rPr>
                <w:color w:val="000000"/>
                <w:lang w:val="en-GB"/>
              </w:rPr>
              <w:t>Larva</w:t>
            </w:r>
          </w:p>
        </w:tc>
        <w:tc>
          <w:tcPr>
            <w:tcW w:w="354" w:type="pct"/>
            <w:tcBorders>
              <w:bottom w:val="nil"/>
            </w:tcBorders>
            <w:shd w:val="clear" w:color="auto" w:fill="auto"/>
          </w:tcPr>
          <w:p w14:paraId="71B74C2A" w14:textId="45538EA7" w:rsidR="00846088" w:rsidRPr="00F4074B" w:rsidRDefault="00846088" w:rsidP="004672DA">
            <w:pPr>
              <w:pStyle w:val="TableText"/>
              <w:jc w:val="left"/>
              <w:rPr>
                <w:color w:val="000000"/>
              </w:rPr>
            </w:pPr>
            <w:r w:rsidRPr="00F4074B">
              <w:rPr>
                <w:color w:val="000000"/>
                <w:lang w:val="en-GB"/>
              </w:rPr>
              <w:t>2</w:t>
            </w:r>
          </w:p>
        </w:tc>
        <w:tc>
          <w:tcPr>
            <w:tcW w:w="355" w:type="pct"/>
            <w:tcBorders>
              <w:bottom w:val="nil"/>
            </w:tcBorders>
            <w:shd w:val="clear" w:color="auto" w:fill="auto"/>
          </w:tcPr>
          <w:p w14:paraId="1FF1CBD0" w14:textId="39648F88" w:rsidR="00846088" w:rsidRPr="00F4074B" w:rsidRDefault="00846088" w:rsidP="004672DA">
            <w:pPr>
              <w:pStyle w:val="TableText"/>
              <w:jc w:val="left"/>
              <w:rPr>
                <w:color w:val="000000"/>
              </w:rPr>
            </w:pPr>
            <w:r w:rsidRPr="00F4074B">
              <w:rPr>
                <w:color w:val="000000"/>
                <w:lang w:val="en-GB"/>
              </w:rPr>
              <w:t>Acute</w:t>
            </w:r>
          </w:p>
        </w:tc>
        <w:tc>
          <w:tcPr>
            <w:tcW w:w="556" w:type="pct"/>
            <w:tcBorders>
              <w:bottom w:val="nil"/>
            </w:tcBorders>
            <w:shd w:val="clear" w:color="auto" w:fill="auto"/>
          </w:tcPr>
          <w:p w14:paraId="6822883C" w14:textId="77777777" w:rsidR="00846088" w:rsidRDefault="00846088" w:rsidP="004672DA">
            <w:pPr>
              <w:pStyle w:val="TableText"/>
              <w:jc w:val="left"/>
              <w:rPr>
                <w:color w:val="000000"/>
                <w:lang w:val="en-GB"/>
              </w:rPr>
            </w:pPr>
            <w:r w:rsidRPr="00F4074B">
              <w:rPr>
                <w:color w:val="000000"/>
                <w:lang w:val="en-GB"/>
              </w:rPr>
              <w:t>LC50</w:t>
            </w:r>
          </w:p>
          <w:p w14:paraId="1A24BB6A" w14:textId="0FD1591D" w:rsidR="00846088" w:rsidRPr="00F4074B" w:rsidRDefault="00846088" w:rsidP="004672DA">
            <w:pPr>
              <w:pStyle w:val="TableText"/>
              <w:jc w:val="left"/>
              <w:rPr>
                <w:color w:val="000000"/>
              </w:rPr>
            </w:pPr>
            <w:r w:rsidRPr="00F4074B">
              <w:rPr>
                <w:color w:val="000000"/>
                <w:lang w:val="en-GB"/>
              </w:rPr>
              <w:t>(Mortality)</w:t>
            </w:r>
          </w:p>
        </w:tc>
        <w:tc>
          <w:tcPr>
            <w:tcW w:w="608" w:type="pct"/>
            <w:tcBorders>
              <w:bottom w:val="nil"/>
            </w:tcBorders>
            <w:shd w:val="clear" w:color="auto" w:fill="auto"/>
          </w:tcPr>
          <w:p w14:paraId="0E36849D" w14:textId="43D6D112" w:rsidR="00846088" w:rsidRPr="00F4074B" w:rsidRDefault="00846088" w:rsidP="004672DA">
            <w:pPr>
              <w:pStyle w:val="TableText"/>
              <w:jc w:val="left"/>
              <w:rPr>
                <w:color w:val="000000"/>
              </w:rPr>
            </w:pPr>
            <w:r w:rsidRPr="00F4074B">
              <w:rPr>
                <w:color w:val="000000"/>
                <w:lang w:val="en-GB"/>
              </w:rPr>
              <w:t>Dechlorinated tap water</w:t>
            </w:r>
          </w:p>
        </w:tc>
        <w:tc>
          <w:tcPr>
            <w:tcW w:w="304" w:type="pct"/>
            <w:tcBorders>
              <w:bottom w:val="nil"/>
            </w:tcBorders>
            <w:shd w:val="clear" w:color="auto" w:fill="auto"/>
          </w:tcPr>
          <w:p w14:paraId="5C8A29DD" w14:textId="7A9D87C3" w:rsidR="00846088" w:rsidRPr="00F4074B" w:rsidRDefault="00846088" w:rsidP="004672DA">
            <w:pPr>
              <w:pStyle w:val="TableText"/>
              <w:jc w:val="left"/>
              <w:rPr>
                <w:color w:val="000000"/>
              </w:rPr>
            </w:pPr>
            <w:r w:rsidRPr="00F4074B">
              <w:rPr>
                <w:color w:val="000000"/>
                <w:lang w:val="en-GB"/>
              </w:rPr>
              <w:t>25</w:t>
            </w:r>
          </w:p>
        </w:tc>
        <w:tc>
          <w:tcPr>
            <w:tcW w:w="305" w:type="pct"/>
            <w:tcBorders>
              <w:bottom w:val="nil"/>
            </w:tcBorders>
            <w:shd w:val="clear" w:color="auto" w:fill="auto"/>
          </w:tcPr>
          <w:p w14:paraId="3B74F148" w14:textId="086E337D" w:rsidR="00846088" w:rsidRPr="00F4074B" w:rsidRDefault="00846088" w:rsidP="004672DA">
            <w:pPr>
              <w:pStyle w:val="TableText"/>
              <w:jc w:val="left"/>
              <w:rPr>
                <w:color w:val="000000"/>
              </w:rPr>
            </w:pPr>
            <w:r w:rsidRPr="00F4074B">
              <w:rPr>
                <w:color w:val="000000"/>
                <w:lang w:val="en-GB"/>
              </w:rPr>
              <w:t>7.5</w:t>
            </w:r>
          </w:p>
        </w:tc>
        <w:tc>
          <w:tcPr>
            <w:tcW w:w="510" w:type="pct"/>
            <w:shd w:val="clear" w:color="auto" w:fill="auto"/>
          </w:tcPr>
          <w:p w14:paraId="10592383" w14:textId="06B9E867" w:rsidR="00846088" w:rsidRPr="00F4074B" w:rsidRDefault="00846088" w:rsidP="004672DA">
            <w:pPr>
              <w:pStyle w:val="TableText"/>
              <w:jc w:val="left"/>
              <w:rPr>
                <w:color w:val="000000"/>
              </w:rPr>
            </w:pPr>
            <w:r w:rsidRPr="00F4074B">
              <w:rPr>
                <w:color w:val="000000"/>
                <w:lang w:val="en-GB"/>
              </w:rPr>
              <w:t>2.45</w:t>
            </w:r>
          </w:p>
        </w:tc>
        <w:tc>
          <w:tcPr>
            <w:tcW w:w="591" w:type="pct"/>
            <w:shd w:val="clear" w:color="auto" w:fill="auto"/>
          </w:tcPr>
          <w:p w14:paraId="46B40F96" w14:textId="25156E6B" w:rsidR="00846088" w:rsidRPr="00F4074B" w:rsidRDefault="00846088" w:rsidP="004672DA">
            <w:pPr>
              <w:pStyle w:val="TableText"/>
              <w:jc w:val="left"/>
              <w:rPr>
                <w:color w:val="000000"/>
              </w:rPr>
            </w:pPr>
            <w:r w:rsidRPr="00F4074B">
              <w:rPr>
                <w:color w:val="000000"/>
                <w:lang w:val="en-GB"/>
              </w:rPr>
              <w:t>Chaton et al. (2002)</w:t>
            </w:r>
          </w:p>
        </w:tc>
      </w:tr>
      <w:tr w:rsidR="00550386" w:rsidRPr="00A61E13" w14:paraId="72C75513" w14:textId="77777777" w:rsidTr="00CC08AE">
        <w:trPr>
          <w:cantSplit/>
        </w:trPr>
        <w:tc>
          <w:tcPr>
            <w:tcW w:w="3899" w:type="pct"/>
            <w:gridSpan w:val="9"/>
            <w:tcBorders>
              <w:top w:val="nil"/>
            </w:tcBorders>
          </w:tcPr>
          <w:p w14:paraId="0A2472B9" w14:textId="2753EFEB" w:rsidR="00550386" w:rsidRPr="00F4074B" w:rsidRDefault="00C52BA4" w:rsidP="004672DA">
            <w:pPr>
              <w:pStyle w:val="TableText"/>
              <w:jc w:val="left"/>
              <w:rPr>
                <w:color w:val="000000"/>
              </w:rPr>
            </w:pPr>
            <w:r>
              <w:rPr>
                <w:color w:val="000000"/>
              </w:rPr>
              <w:t>–</w:t>
            </w:r>
          </w:p>
        </w:tc>
        <w:tc>
          <w:tcPr>
            <w:tcW w:w="510" w:type="pct"/>
          </w:tcPr>
          <w:p w14:paraId="3351DC4E" w14:textId="7147DAD6" w:rsidR="00550386" w:rsidRPr="00F4074B" w:rsidRDefault="00550386" w:rsidP="004672DA">
            <w:pPr>
              <w:pStyle w:val="TableText"/>
              <w:jc w:val="left"/>
              <w:rPr>
                <w:color w:val="000000"/>
              </w:rPr>
            </w:pPr>
            <w:r w:rsidRPr="007259B3">
              <w:rPr>
                <w:b/>
                <w:bCs/>
                <w:color w:val="000000"/>
                <w:lang w:val="en-GB"/>
              </w:rPr>
              <w:t>0.245</w:t>
            </w:r>
            <w:r>
              <w:rPr>
                <w:color w:val="000000"/>
                <w:lang w:val="en-GB"/>
              </w:rPr>
              <w:t xml:space="preserve"> </w:t>
            </w:r>
            <w:r w:rsidRPr="00C64456">
              <w:rPr>
                <w:rStyle w:val="Strong"/>
                <w:vertAlign w:val="superscript"/>
              </w:rPr>
              <w:t>c</w:t>
            </w:r>
          </w:p>
        </w:tc>
        <w:tc>
          <w:tcPr>
            <w:tcW w:w="591" w:type="pct"/>
          </w:tcPr>
          <w:p w14:paraId="667D5F8B" w14:textId="2E379D00" w:rsidR="00550386" w:rsidRPr="007259B3" w:rsidRDefault="00550386" w:rsidP="004672DA">
            <w:pPr>
              <w:pStyle w:val="TableText"/>
              <w:jc w:val="left"/>
              <w:rPr>
                <w:b/>
                <w:bCs/>
                <w:iCs/>
                <w:color w:val="000000"/>
              </w:rPr>
            </w:pPr>
            <w:r w:rsidRPr="007259B3">
              <w:rPr>
                <w:b/>
                <w:bCs/>
                <w:iCs/>
                <w:color w:val="000000"/>
                <w:lang w:val="en-GB"/>
              </w:rPr>
              <w:t>Value used in SSD</w:t>
            </w:r>
          </w:p>
        </w:tc>
      </w:tr>
      <w:tr w:rsidR="00CC08AE" w:rsidRPr="00A61E13" w14:paraId="49A76042" w14:textId="2921AFE9"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7A041551" w14:textId="66BF2D4E" w:rsidR="00846088" w:rsidRPr="00F4074B" w:rsidRDefault="00846088" w:rsidP="004672DA">
            <w:pPr>
              <w:pStyle w:val="TableText"/>
              <w:jc w:val="left"/>
              <w:rPr>
                <w:color w:val="000000"/>
              </w:rPr>
            </w:pPr>
            <w:r>
              <w:rPr>
                <w:color w:val="000000"/>
                <w:lang w:val="en-GB"/>
              </w:rPr>
              <w:t>Insect</w:t>
            </w:r>
          </w:p>
        </w:tc>
        <w:tc>
          <w:tcPr>
            <w:tcW w:w="557" w:type="pct"/>
            <w:tcBorders>
              <w:bottom w:val="nil"/>
            </w:tcBorders>
            <w:shd w:val="clear" w:color="auto" w:fill="auto"/>
          </w:tcPr>
          <w:p w14:paraId="09B2B2E0" w14:textId="4AE72E66" w:rsidR="00846088" w:rsidRPr="00F4074B" w:rsidRDefault="00846088" w:rsidP="004672DA">
            <w:pPr>
              <w:pStyle w:val="TableText"/>
              <w:jc w:val="left"/>
              <w:rPr>
                <w:iCs/>
                <w:color w:val="000000"/>
              </w:rPr>
            </w:pPr>
            <w:r w:rsidRPr="00F4074B">
              <w:rPr>
                <w:i/>
                <w:color w:val="000000"/>
                <w:lang w:val="en-GB"/>
              </w:rPr>
              <w:t>Chironomus crassicaudatus</w:t>
            </w:r>
          </w:p>
        </w:tc>
        <w:tc>
          <w:tcPr>
            <w:tcW w:w="455" w:type="pct"/>
            <w:tcBorders>
              <w:bottom w:val="nil"/>
            </w:tcBorders>
            <w:shd w:val="clear" w:color="auto" w:fill="auto"/>
          </w:tcPr>
          <w:p w14:paraId="2784E4F6" w14:textId="4D4D39DA" w:rsidR="00846088" w:rsidRPr="00F4074B" w:rsidRDefault="00846088" w:rsidP="004672DA">
            <w:pPr>
              <w:pStyle w:val="TableText"/>
              <w:jc w:val="left"/>
              <w:rPr>
                <w:color w:val="000000"/>
              </w:rPr>
            </w:pPr>
            <w:r w:rsidRPr="00F4074B">
              <w:rPr>
                <w:color w:val="000000"/>
                <w:lang w:val="en-GB"/>
              </w:rPr>
              <w:t>Fo</w:t>
            </w:r>
            <w:r>
              <w:rPr>
                <w:color w:val="000000"/>
                <w:lang w:val="en-GB"/>
              </w:rPr>
              <w:t>u</w:t>
            </w:r>
            <w:r w:rsidRPr="00F4074B">
              <w:rPr>
                <w:color w:val="000000"/>
                <w:lang w:val="en-GB"/>
              </w:rPr>
              <w:t>rth instar larva</w:t>
            </w:r>
          </w:p>
        </w:tc>
        <w:tc>
          <w:tcPr>
            <w:tcW w:w="354" w:type="pct"/>
            <w:tcBorders>
              <w:bottom w:val="nil"/>
            </w:tcBorders>
            <w:shd w:val="clear" w:color="auto" w:fill="auto"/>
          </w:tcPr>
          <w:p w14:paraId="305083F0" w14:textId="358D9779" w:rsidR="00846088" w:rsidRPr="00F4074B" w:rsidRDefault="00846088" w:rsidP="004672DA">
            <w:pPr>
              <w:pStyle w:val="TableText"/>
              <w:jc w:val="left"/>
              <w:rPr>
                <w:color w:val="000000"/>
              </w:rPr>
            </w:pPr>
            <w:r w:rsidRPr="00F4074B">
              <w:rPr>
                <w:color w:val="000000"/>
                <w:lang w:val="en-GB"/>
              </w:rPr>
              <w:t>2</w:t>
            </w:r>
          </w:p>
        </w:tc>
        <w:tc>
          <w:tcPr>
            <w:tcW w:w="355" w:type="pct"/>
            <w:tcBorders>
              <w:bottom w:val="nil"/>
            </w:tcBorders>
            <w:shd w:val="clear" w:color="auto" w:fill="auto"/>
          </w:tcPr>
          <w:p w14:paraId="1BE26E79" w14:textId="5EE518F4" w:rsidR="00846088" w:rsidRPr="00F4074B" w:rsidRDefault="00846088" w:rsidP="004672DA">
            <w:pPr>
              <w:pStyle w:val="TableText"/>
              <w:jc w:val="left"/>
              <w:rPr>
                <w:color w:val="000000"/>
              </w:rPr>
            </w:pPr>
            <w:r w:rsidRPr="00F4074B">
              <w:rPr>
                <w:color w:val="000000"/>
                <w:lang w:val="en-GB"/>
              </w:rPr>
              <w:t>Acute</w:t>
            </w:r>
          </w:p>
        </w:tc>
        <w:tc>
          <w:tcPr>
            <w:tcW w:w="556" w:type="pct"/>
            <w:tcBorders>
              <w:bottom w:val="nil"/>
            </w:tcBorders>
            <w:shd w:val="clear" w:color="auto" w:fill="auto"/>
          </w:tcPr>
          <w:p w14:paraId="5C3C7DAE" w14:textId="77777777" w:rsidR="00846088" w:rsidRDefault="00846088" w:rsidP="004672DA">
            <w:pPr>
              <w:pStyle w:val="TableText"/>
              <w:jc w:val="left"/>
              <w:rPr>
                <w:color w:val="000000"/>
                <w:lang w:val="en-GB"/>
              </w:rPr>
            </w:pPr>
            <w:r w:rsidRPr="00F4074B">
              <w:rPr>
                <w:color w:val="000000"/>
                <w:lang w:val="en-GB"/>
              </w:rPr>
              <w:t>LC50</w:t>
            </w:r>
          </w:p>
          <w:p w14:paraId="58B4DB17" w14:textId="17AE56CD" w:rsidR="00846088" w:rsidRPr="00F4074B" w:rsidRDefault="00846088" w:rsidP="004672DA">
            <w:pPr>
              <w:pStyle w:val="TableText"/>
              <w:jc w:val="left"/>
              <w:rPr>
                <w:color w:val="000000"/>
              </w:rPr>
            </w:pPr>
            <w:r w:rsidRPr="00F4074B">
              <w:rPr>
                <w:color w:val="000000"/>
                <w:lang w:val="en-GB"/>
              </w:rPr>
              <w:t>(Mortality)</w:t>
            </w:r>
          </w:p>
        </w:tc>
        <w:tc>
          <w:tcPr>
            <w:tcW w:w="608" w:type="pct"/>
            <w:tcBorders>
              <w:bottom w:val="nil"/>
            </w:tcBorders>
            <w:shd w:val="clear" w:color="auto" w:fill="auto"/>
          </w:tcPr>
          <w:p w14:paraId="2D45F7F8" w14:textId="4BF7F013" w:rsidR="00846088" w:rsidRPr="00F4074B" w:rsidRDefault="00846088" w:rsidP="004672DA">
            <w:pPr>
              <w:pStyle w:val="TableText"/>
              <w:jc w:val="left"/>
              <w:rPr>
                <w:color w:val="000000"/>
              </w:rPr>
            </w:pPr>
            <w:r w:rsidRPr="00F4074B">
              <w:rPr>
                <w:color w:val="000000"/>
                <w:lang w:val="en-GB"/>
              </w:rPr>
              <w:t>Tap water</w:t>
            </w:r>
          </w:p>
        </w:tc>
        <w:tc>
          <w:tcPr>
            <w:tcW w:w="304" w:type="pct"/>
            <w:tcBorders>
              <w:bottom w:val="nil"/>
            </w:tcBorders>
            <w:shd w:val="clear" w:color="auto" w:fill="auto"/>
          </w:tcPr>
          <w:p w14:paraId="7046AD2C" w14:textId="01C1DF60" w:rsidR="00846088" w:rsidRPr="00F4074B" w:rsidRDefault="00846088" w:rsidP="004672DA">
            <w:pPr>
              <w:pStyle w:val="TableText"/>
              <w:jc w:val="left"/>
              <w:rPr>
                <w:color w:val="000000"/>
              </w:rPr>
            </w:pPr>
            <w:r w:rsidRPr="00F4074B">
              <w:rPr>
                <w:color w:val="000000"/>
                <w:lang w:val="en-GB"/>
              </w:rPr>
              <w:t>26 ± 2</w:t>
            </w:r>
          </w:p>
        </w:tc>
        <w:tc>
          <w:tcPr>
            <w:tcW w:w="305" w:type="pct"/>
            <w:tcBorders>
              <w:bottom w:val="nil"/>
            </w:tcBorders>
            <w:shd w:val="clear" w:color="auto" w:fill="auto"/>
          </w:tcPr>
          <w:p w14:paraId="626E6725" w14:textId="26B13EFB" w:rsidR="00846088" w:rsidRPr="00F4074B" w:rsidRDefault="00846088" w:rsidP="004672DA">
            <w:pPr>
              <w:pStyle w:val="TableText"/>
              <w:jc w:val="left"/>
              <w:rPr>
                <w:color w:val="000000"/>
              </w:rPr>
            </w:pPr>
            <w:r>
              <w:rPr>
                <w:color w:val="000000"/>
                <w:lang w:val="en-GB"/>
              </w:rPr>
              <w:t>–</w:t>
            </w:r>
          </w:p>
        </w:tc>
        <w:tc>
          <w:tcPr>
            <w:tcW w:w="510" w:type="pct"/>
            <w:shd w:val="clear" w:color="auto" w:fill="auto"/>
          </w:tcPr>
          <w:p w14:paraId="4077E184" w14:textId="5AD73CFA" w:rsidR="00846088" w:rsidRPr="00F4074B" w:rsidRDefault="00846088" w:rsidP="004672DA">
            <w:pPr>
              <w:pStyle w:val="TableText"/>
              <w:jc w:val="left"/>
              <w:rPr>
                <w:color w:val="000000"/>
              </w:rPr>
            </w:pPr>
            <w:r w:rsidRPr="00F4074B">
              <w:rPr>
                <w:color w:val="000000"/>
                <w:lang w:val="en-GB"/>
              </w:rPr>
              <w:t>0.42</w:t>
            </w:r>
          </w:p>
        </w:tc>
        <w:tc>
          <w:tcPr>
            <w:tcW w:w="591" w:type="pct"/>
            <w:shd w:val="clear" w:color="auto" w:fill="auto"/>
          </w:tcPr>
          <w:p w14:paraId="52134E15" w14:textId="0E4B172F" w:rsidR="00846088" w:rsidRPr="00F4074B" w:rsidRDefault="00846088" w:rsidP="004672DA">
            <w:pPr>
              <w:pStyle w:val="TableText"/>
              <w:jc w:val="left"/>
            </w:pPr>
            <w:r w:rsidRPr="00F4074B">
              <w:rPr>
                <w:color w:val="000000"/>
                <w:lang w:val="en-GB"/>
              </w:rPr>
              <w:t>Ali et al. (1998)</w:t>
            </w:r>
          </w:p>
        </w:tc>
      </w:tr>
      <w:tr w:rsidR="00550386" w:rsidRPr="00A61E13" w14:paraId="2975E0EE" w14:textId="71C51E7E" w:rsidTr="00CC08AE">
        <w:trPr>
          <w:cantSplit/>
        </w:trPr>
        <w:tc>
          <w:tcPr>
            <w:tcW w:w="3899" w:type="pct"/>
            <w:gridSpan w:val="9"/>
            <w:tcBorders>
              <w:top w:val="nil"/>
            </w:tcBorders>
          </w:tcPr>
          <w:p w14:paraId="4B8F6C37" w14:textId="39C07834" w:rsidR="00550386" w:rsidRPr="00F4074B" w:rsidRDefault="00C52BA4" w:rsidP="004672DA">
            <w:pPr>
              <w:pStyle w:val="TableText"/>
              <w:jc w:val="left"/>
              <w:rPr>
                <w:color w:val="000000"/>
              </w:rPr>
            </w:pPr>
            <w:r>
              <w:rPr>
                <w:color w:val="000000"/>
              </w:rPr>
              <w:t>–</w:t>
            </w:r>
          </w:p>
        </w:tc>
        <w:tc>
          <w:tcPr>
            <w:tcW w:w="510" w:type="pct"/>
          </w:tcPr>
          <w:p w14:paraId="58375671" w14:textId="2A0E2764" w:rsidR="00550386" w:rsidRPr="00F4074B" w:rsidRDefault="00550386" w:rsidP="004672DA">
            <w:pPr>
              <w:pStyle w:val="TableText"/>
              <w:jc w:val="left"/>
              <w:rPr>
                <w:color w:val="000000"/>
              </w:rPr>
            </w:pPr>
            <w:r w:rsidRPr="007259B3">
              <w:rPr>
                <w:b/>
                <w:bCs/>
                <w:color w:val="000000"/>
                <w:lang w:val="en-GB"/>
              </w:rPr>
              <w:t>0.042</w:t>
            </w:r>
            <w:r>
              <w:rPr>
                <w:color w:val="000000"/>
                <w:lang w:val="en-GB"/>
              </w:rPr>
              <w:t xml:space="preserve"> </w:t>
            </w:r>
            <w:r w:rsidRPr="00C64456">
              <w:rPr>
                <w:rStyle w:val="Strong"/>
                <w:vertAlign w:val="superscript"/>
              </w:rPr>
              <w:t>c</w:t>
            </w:r>
          </w:p>
        </w:tc>
        <w:tc>
          <w:tcPr>
            <w:tcW w:w="591" w:type="pct"/>
          </w:tcPr>
          <w:p w14:paraId="5DFC0C6F" w14:textId="658C7A0B" w:rsidR="00550386" w:rsidRPr="007259B3" w:rsidRDefault="00550386" w:rsidP="004672DA">
            <w:pPr>
              <w:pStyle w:val="TableText"/>
              <w:jc w:val="left"/>
              <w:rPr>
                <w:b/>
                <w:bCs/>
                <w:iCs/>
              </w:rPr>
            </w:pPr>
            <w:r w:rsidRPr="007259B3">
              <w:rPr>
                <w:b/>
                <w:bCs/>
                <w:iCs/>
                <w:color w:val="000000"/>
                <w:lang w:val="en-GB"/>
              </w:rPr>
              <w:t>Value used in SSD</w:t>
            </w:r>
          </w:p>
        </w:tc>
      </w:tr>
      <w:tr w:rsidR="00CC08AE" w:rsidRPr="00A61E13" w14:paraId="3155606E" w14:textId="351D6C51" w:rsidTr="00CC08AE">
        <w:trPr>
          <w:cnfStyle w:val="000000100000" w:firstRow="0" w:lastRow="0" w:firstColumn="0" w:lastColumn="0" w:oddVBand="0" w:evenVBand="0" w:oddHBand="1" w:evenHBand="0" w:firstRowFirstColumn="0" w:firstRowLastColumn="0" w:lastRowFirstColumn="0" w:lastRowLastColumn="0"/>
          <w:cantSplit/>
        </w:trPr>
        <w:tc>
          <w:tcPr>
            <w:tcW w:w="405" w:type="pct"/>
            <w:tcBorders>
              <w:bottom w:val="nil"/>
            </w:tcBorders>
            <w:shd w:val="clear" w:color="auto" w:fill="auto"/>
          </w:tcPr>
          <w:p w14:paraId="6376AD0E" w14:textId="16F7454F" w:rsidR="00001875" w:rsidRPr="00F4074B" w:rsidRDefault="00001875" w:rsidP="004672DA">
            <w:pPr>
              <w:pStyle w:val="TableText"/>
              <w:jc w:val="left"/>
              <w:rPr>
                <w:color w:val="000000"/>
              </w:rPr>
            </w:pPr>
            <w:r>
              <w:rPr>
                <w:color w:val="000000"/>
                <w:lang w:val="en-GB"/>
              </w:rPr>
              <w:t>Insect</w:t>
            </w:r>
          </w:p>
        </w:tc>
        <w:tc>
          <w:tcPr>
            <w:tcW w:w="557" w:type="pct"/>
            <w:tcBorders>
              <w:bottom w:val="nil"/>
            </w:tcBorders>
            <w:shd w:val="clear" w:color="auto" w:fill="auto"/>
          </w:tcPr>
          <w:p w14:paraId="5AD9EC25" w14:textId="74B38314" w:rsidR="00001875" w:rsidRPr="00F4074B" w:rsidRDefault="00001875" w:rsidP="004672DA">
            <w:pPr>
              <w:pStyle w:val="TableText"/>
              <w:jc w:val="left"/>
              <w:rPr>
                <w:iCs/>
                <w:color w:val="000000"/>
              </w:rPr>
            </w:pPr>
            <w:r w:rsidRPr="00F4074B">
              <w:rPr>
                <w:i/>
                <w:color w:val="000000"/>
                <w:lang w:val="en-GB"/>
              </w:rPr>
              <w:t>Culex nigripalpus</w:t>
            </w:r>
          </w:p>
        </w:tc>
        <w:tc>
          <w:tcPr>
            <w:tcW w:w="455" w:type="pct"/>
            <w:tcBorders>
              <w:bottom w:val="nil"/>
            </w:tcBorders>
            <w:shd w:val="clear" w:color="auto" w:fill="auto"/>
          </w:tcPr>
          <w:p w14:paraId="75451D28" w14:textId="6DAAE9D0" w:rsidR="00001875" w:rsidRPr="00F4074B" w:rsidRDefault="00001875" w:rsidP="004672DA">
            <w:pPr>
              <w:pStyle w:val="TableText"/>
              <w:jc w:val="left"/>
              <w:rPr>
                <w:color w:val="000000"/>
              </w:rPr>
            </w:pPr>
            <w:r w:rsidRPr="00F4074B">
              <w:rPr>
                <w:color w:val="000000"/>
                <w:lang w:val="en-GB"/>
              </w:rPr>
              <w:t>Fo</w:t>
            </w:r>
            <w:r>
              <w:rPr>
                <w:color w:val="000000"/>
                <w:lang w:val="en-GB"/>
              </w:rPr>
              <w:t>u</w:t>
            </w:r>
            <w:r w:rsidRPr="00F4074B">
              <w:rPr>
                <w:color w:val="000000"/>
                <w:lang w:val="en-GB"/>
              </w:rPr>
              <w:t>rth instar larva</w:t>
            </w:r>
          </w:p>
        </w:tc>
        <w:tc>
          <w:tcPr>
            <w:tcW w:w="354" w:type="pct"/>
            <w:tcBorders>
              <w:bottom w:val="nil"/>
            </w:tcBorders>
            <w:shd w:val="clear" w:color="auto" w:fill="auto"/>
          </w:tcPr>
          <w:p w14:paraId="777C7FF0" w14:textId="7B7BF0BF" w:rsidR="00001875" w:rsidRPr="00F4074B" w:rsidRDefault="00001875" w:rsidP="004672DA">
            <w:pPr>
              <w:pStyle w:val="TableText"/>
              <w:jc w:val="left"/>
              <w:rPr>
                <w:color w:val="000000"/>
              </w:rPr>
            </w:pPr>
            <w:r w:rsidRPr="00F4074B">
              <w:rPr>
                <w:color w:val="000000"/>
                <w:lang w:val="en-GB"/>
              </w:rPr>
              <w:t>2</w:t>
            </w:r>
          </w:p>
        </w:tc>
        <w:tc>
          <w:tcPr>
            <w:tcW w:w="355" w:type="pct"/>
            <w:tcBorders>
              <w:bottom w:val="nil"/>
            </w:tcBorders>
            <w:shd w:val="clear" w:color="auto" w:fill="auto"/>
          </w:tcPr>
          <w:p w14:paraId="7E45167D" w14:textId="496F5C09" w:rsidR="00001875" w:rsidRPr="00F4074B" w:rsidRDefault="00001875" w:rsidP="004672DA">
            <w:pPr>
              <w:pStyle w:val="TableText"/>
              <w:jc w:val="left"/>
              <w:rPr>
                <w:color w:val="000000"/>
              </w:rPr>
            </w:pPr>
            <w:r w:rsidRPr="00F4074B">
              <w:rPr>
                <w:color w:val="000000"/>
                <w:lang w:val="en-GB"/>
              </w:rPr>
              <w:t>Acute</w:t>
            </w:r>
          </w:p>
        </w:tc>
        <w:tc>
          <w:tcPr>
            <w:tcW w:w="556" w:type="pct"/>
            <w:tcBorders>
              <w:bottom w:val="nil"/>
            </w:tcBorders>
            <w:shd w:val="clear" w:color="auto" w:fill="auto"/>
          </w:tcPr>
          <w:p w14:paraId="66B0D8FC" w14:textId="77777777" w:rsidR="00001875" w:rsidRDefault="00001875" w:rsidP="004672DA">
            <w:pPr>
              <w:pStyle w:val="TableText"/>
              <w:jc w:val="left"/>
              <w:rPr>
                <w:color w:val="000000"/>
                <w:lang w:val="en-GB"/>
              </w:rPr>
            </w:pPr>
            <w:r w:rsidRPr="00F4074B">
              <w:rPr>
                <w:color w:val="000000"/>
                <w:lang w:val="en-GB"/>
              </w:rPr>
              <w:t>LC50</w:t>
            </w:r>
          </w:p>
          <w:p w14:paraId="3B7CC6CD" w14:textId="298133E2" w:rsidR="00001875" w:rsidRPr="00F4074B" w:rsidRDefault="00001875" w:rsidP="004672DA">
            <w:pPr>
              <w:pStyle w:val="TableText"/>
              <w:jc w:val="left"/>
              <w:rPr>
                <w:color w:val="000000"/>
              </w:rPr>
            </w:pPr>
            <w:r w:rsidRPr="00F4074B">
              <w:rPr>
                <w:color w:val="000000"/>
                <w:lang w:val="en-GB"/>
              </w:rPr>
              <w:t>(Mortality)</w:t>
            </w:r>
          </w:p>
        </w:tc>
        <w:tc>
          <w:tcPr>
            <w:tcW w:w="608" w:type="pct"/>
            <w:tcBorders>
              <w:bottom w:val="nil"/>
            </w:tcBorders>
            <w:shd w:val="clear" w:color="auto" w:fill="auto"/>
          </w:tcPr>
          <w:p w14:paraId="3CE37705" w14:textId="26FC74FE" w:rsidR="00001875" w:rsidRPr="00F4074B" w:rsidRDefault="00001875" w:rsidP="004672DA">
            <w:pPr>
              <w:pStyle w:val="TableText"/>
              <w:jc w:val="left"/>
              <w:rPr>
                <w:color w:val="000000"/>
              </w:rPr>
            </w:pPr>
            <w:r w:rsidRPr="00F4074B">
              <w:rPr>
                <w:color w:val="000000"/>
                <w:lang w:val="en-GB"/>
              </w:rPr>
              <w:t>Tap water</w:t>
            </w:r>
          </w:p>
        </w:tc>
        <w:tc>
          <w:tcPr>
            <w:tcW w:w="304" w:type="pct"/>
            <w:tcBorders>
              <w:bottom w:val="nil"/>
            </w:tcBorders>
            <w:shd w:val="clear" w:color="auto" w:fill="auto"/>
          </w:tcPr>
          <w:p w14:paraId="7D59DEC4" w14:textId="3E20FE4E" w:rsidR="00001875" w:rsidRPr="00F4074B" w:rsidRDefault="00001875" w:rsidP="004672DA">
            <w:pPr>
              <w:pStyle w:val="TableText"/>
              <w:jc w:val="left"/>
              <w:rPr>
                <w:color w:val="000000"/>
              </w:rPr>
            </w:pPr>
            <w:r w:rsidRPr="00F4074B">
              <w:rPr>
                <w:color w:val="000000"/>
                <w:lang w:val="en-GB"/>
              </w:rPr>
              <w:t>26 ± 2</w:t>
            </w:r>
          </w:p>
        </w:tc>
        <w:tc>
          <w:tcPr>
            <w:tcW w:w="305" w:type="pct"/>
            <w:tcBorders>
              <w:bottom w:val="nil"/>
            </w:tcBorders>
            <w:shd w:val="clear" w:color="auto" w:fill="auto"/>
          </w:tcPr>
          <w:p w14:paraId="7BC4113E" w14:textId="50D8C646" w:rsidR="00001875" w:rsidRPr="00F4074B" w:rsidRDefault="00001875" w:rsidP="004672DA">
            <w:pPr>
              <w:pStyle w:val="TableText"/>
              <w:jc w:val="left"/>
              <w:rPr>
                <w:color w:val="000000"/>
              </w:rPr>
            </w:pPr>
            <w:r>
              <w:rPr>
                <w:color w:val="000000"/>
                <w:lang w:val="en-GB"/>
              </w:rPr>
              <w:t>–</w:t>
            </w:r>
          </w:p>
        </w:tc>
        <w:tc>
          <w:tcPr>
            <w:tcW w:w="510" w:type="pct"/>
            <w:shd w:val="clear" w:color="auto" w:fill="auto"/>
          </w:tcPr>
          <w:p w14:paraId="2BD66419" w14:textId="39CDC3B7" w:rsidR="00001875" w:rsidRPr="00F4074B" w:rsidRDefault="00001875" w:rsidP="004672DA">
            <w:pPr>
              <w:pStyle w:val="TableText"/>
              <w:jc w:val="left"/>
              <w:rPr>
                <w:color w:val="000000"/>
              </w:rPr>
            </w:pPr>
            <w:r w:rsidRPr="00F4074B">
              <w:rPr>
                <w:color w:val="000000"/>
                <w:lang w:val="en-GB"/>
              </w:rPr>
              <w:t>0.87</w:t>
            </w:r>
          </w:p>
        </w:tc>
        <w:tc>
          <w:tcPr>
            <w:tcW w:w="591" w:type="pct"/>
            <w:shd w:val="clear" w:color="auto" w:fill="auto"/>
          </w:tcPr>
          <w:p w14:paraId="5ACACE33" w14:textId="25DA0F62" w:rsidR="00001875" w:rsidRPr="00F4074B" w:rsidRDefault="00001875" w:rsidP="004672DA">
            <w:pPr>
              <w:pStyle w:val="TableText"/>
              <w:jc w:val="left"/>
            </w:pPr>
            <w:r w:rsidRPr="00F4074B">
              <w:rPr>
                <w:color w:val="000000"/>
                <w:lang w:val="en-GB"/>
              </w:rPr>
              <w:t>Ali et al. (1998)</w:t>
            </w:r>
          </w:p>
        </w:tc>
      </w:tr>
      <w:tr w:rsidR="00550386" w:rsidRPr="00A61E13" w14:paraId="525A589E" w14:textId="398CFC84" w:rsidTr="00CC08AE">
        <w:trPr>
          <w:cantSplit/>
        </w:trPr>
        <w:tc>
          <w:tcPr>
            <w:tcW w:w="3899" w:type="pct"/>
            <w:gridSpan w:val="9"/>
            <w:tcBorders>
              <w:top w:val="nil"/>
            </w:tcBorders>
          </w:tcPr>
          <w:p w14:paraId="0106AAFF" w14:textId="37A7BFAB" w:rsidR="00550386" w:rsidRPr="00F4074B" w:rsidRDefault="00C52BA4" w:rsidP="004672DA">
            <w:pPr>
              <w:pStyle w:val="TableText"/>
              <w:jc w:val="left"/>
              <w:rPr>
                <w:color w:val="000000"/>
              </w:rPr>
            </w:pPr>
            <w:r>
              <w:rPr>
                <w:color w:val="000000"/>
              </w:rPr>
              <w:t>–</w:t>
            </w:r>
          </w:p>
        </w:tc>
        <w:tc>
          <w:tcPr>
            <w:tcW w:w="510" w:type="pct"/>
          </w:tcPr>
          <w:p w14:paraId="77DAAD3C" w14:textId="21E466C2" w:rsidR="00550386" w:rsidRPr="00F4074B" w:rsidRDefault="00550386" w:rsidP="004672DA">
            <w:pPr>
              <w:pStyle w:val="TableText"/>
              <w:jc w:val="left"/>
              <w:rPr>
                <w:color w:val="000000"/>
              </w:rPr>
            </w:pPr>
            <w:r w:rsidRPr="007259B3">
              <w:rPr>
                <w:b/>
                <w:bCs/>
                <w:color w:val="000000"/>
                <w:lang w:val="en-GB"/>
              </w:rPr>
              <w:t>0.087</w:t>
            </w:r>
            <w:r>
              <w:rPr>
                <w:color w:val="000000"/>
                <w:lang w:val="en-GB"/>
              </w:rPr>
              <w:t xml:space="preserve"> </w:t>
            </w:r>
            <w:r w:rsidRPr="00C64456">
              <w:rPr>
                <w:rStyle w:val="Strong"/>
                <w:vertAlign w:val="superscript"/>
              </w:rPr>
              <w:t>c</w:t>
            </w:r>
          </w:p>
        </w:tc>
        <w:tc>
          <w:tcPr>
            <w:tcW w:w="591" w:type="pct"/>
          </w:tcPr>
          <w:p w14:paraId="1B34C445" w14:textId="67689F77" w:rsidR="00550386" w:rsidRPr="007259B3" w:rsidRDefault="00550386" w:rsidP="00550386">
            <w:pPr>
              <w:pStyle w:val="TableText"/>
              <w:jc w:val="left"/>
              <w:rPr>
                <w:b/>
                <w:bCs/>
                <w:iCs/>
              </w:rPr>
            </w:pPr>
            <w:r w:rsidRPr="007259B3">
              <w:rPr>
                <w:b/>
                <w:bCs/>
                <w:iCs/>
                <w:color w:val="000000"/>
                <w:lang w:val="en-GB"/>
              </w:rPr>
              <w:t>Value used in SSD</w:t>
            </w:r>
          </w:p>
        </w:tc>
      </w:tr>
      <w:tr w:rsidR="00CC08AE" w:rsidRPr="00A61E13" w14:paraId="40AB38E2" w14:textId="3B467510"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val="restart"/>
            <w:shd w:val="clear" w:color="auto" w:fill="auto"/>
          </w:tcPr>
          <w:p w14:paraId="674938F6" w14:textId="28132C4B" w:rsidR="00001875" w:rsidRPr="00F4074B" w:rsidRDefault="00001875" w:rsidP="004672DA">
            <w:pPr>
              <w:pStyle w:val="TableText"/>
              <w:jc w:val="left"/>
              <w:rPr>
                <w:color w:val="000000"/>
              </w:rPr>
            </w:pPr>
            <w:r>
              <w:rPr>
                <w:color w:val="000000"/>
                <w:lang w:val="en-GB"/>
              </w:rPr>
              <w:t>Insect</w:t>
            </w:r>
          </w:p>
        </w:tc>
        <w:tc>
          <w:tcPr>
            <w:tcW w:w="557" w:type="pct"/>
            <w:vMerge w:val="restart"/>
            <w:shd w:val="clear" w:color="auto" w:fill="auto"/>
          </w:tcPr>
          <w:p w14:paraId="7F1B12F3" w14:textId="2923A9D5" w:rsidR="00001875" w:rsidRPr="00F4074B" w:rsidRDefault="00001875" w:rsidP="004672DA">
            <w:pPr>
              <w:pStyle w:val="TableText"/>
              <w:jc w:val="left"/>
              <w:rPr>
                <w:i/>
                <w:iCs/>
                <w:color w:val="000000"/>
              </w:rPr>
            </w:pPr>
            <w:r w:rsidRPr="00F4074B">
              <w:rPr>
                <w:i/>
                <w:color w:val="000000"/>
                <w:lang w:val="en-GB"/>
              </w:rPr>
              <w:t>Culex quinq</w:t>
            </w:r>
            <w:r>
              <w:rPr>
                <w:i/>
                <w:color w:val="000000"/>
                <w:lang w:val="en-GB"/>
              </w:rPr>
              <w:t>u</w:t>
            </w:r>
            <w:r w:rsidRPr="00F4074B">
              <w:rPr>
                <w:i/>
                <w:color w:val="000000"/>
                <w:lang w:val="en-GB"/>
              </w:rPr>
              <w:t>efasciatus</w:t>
            </w:r>
          </w:p>
        </w:tc>
        <w:tc>
          <w:tcPr>
            <w:tcW w:w="455" w:type="pct"/>
            <w:shd w:val="clear" w:color="auto" w:fill="auto"/>
          </w:tcPr>
          <w:p w14:paraId="4CB2EF76" w14:textId="623DAED9" w:rsidR="00001875" w:rsidRPr="00FA33D3" w:rsidRDefault="00001875" w:rsidP="004672DA">
            <w:pPr>
              <w:pStyle w:val="TableText"/>
              <w:jc w:val="left"/>
              <w:rPr>
                <w:color w:val="000000"/>
              </w:rPr>
            </w:pPr>
            <w:r w:rsidRPr="00FA33D3">
              <w:rPr>
                <w:color w:val="000000"/>
                <w:lang w:val="en-GB"/>
              </w:rPr>
              <w:t>Fourth instar larva</w:t>
            </w:r>
          </w:p>
        </w:tc>
        <w:tc>
          <w:tcPr>
            <w:tcW w:w="354" w:type="pct"/>
            <w:shd w:val="clear" w:color="auto" w:fill="auto"/>
          </w:tcPr>
          <w:p w14:paraId="07994D06" w14:textId="2210E438" w:rsidR="00001875" w:rsidRPr="00F4074B" w:rsidRDefault="00001875" w:rsidP="004672DA">
            <w:pPr>
              <w:pStyle w:val="TableText"/>
              <w:jc w:val="left"/>
              <w:rPr>
                <w:color w:val="000000"/>
              </w:rPr>
            </w:pPr>
            <w:r w:rsidRPr="00F4074B">
              <w:rPr>
                <w:color w:val="000000"/>
                <w:lang w:val="en-GB"/>
              </w:rPr>
              <w:t>2</w:t>
            </w:r>
          </w:p>
        </w:tc>
        <w:tc>
          <w:tcPr>
            <w:tcW w:w="355" w:type="pct"/>
            <w:shd w:val="clear" w:color="auto" w:fill="auto"/>
          </w:tcPr>
          <w:p w14:paraId="1F2C99C7" w14:textId="06C0C550" w:rsidR="00001875" w:rsidRPr="00F4074B" w:rsidRDefault="00001875" w:rsidP="004672DA">
            <w:pPr>
              <w:pStyle w:val="TableText"/>
              <w:jc w:val="left"/>
              <w:rPr>
                <w:color w:val="000000"/>
              </w:rPr>
            </w:pPr>
            <w:r w:rsidRPr="00F4074B">
              <w:rPr>
                <w:color w:val="000000"/>
                <w:lang w:val="en-GB"/>
              </w:rPr>
              <w:t>Acute</w:t>
            </w:r>
          </w:p>
        </w:tc>
        <w:tc>
          <w:tcPr>
            <w:tcW w:w="556" w:type="pct"/>
            <w:shd w:val="clear" w:color="auto" w:fill="auto"/>
          </w:tcPr>
          <w:p w14:paraId="6EC7C81A" w14:textId="77777777" w:rsidR="00001875" w:rsidRDefault="00001875" w:rsidP="004672DA">
            <w:pPr>
              <w:pStyle w:val="TableText"/>
              <w:jc w:val="left"/>
              <w:rPr>
                <w:color w:val="000000"/>
                <w:lang w:val="en-GB"/>
              </w:rPr>
            </w:pPr>
            <w:r w:rsidRPr="00F4074B">
              <w:rPr>
                <w:color w:val="000000"/>
                <w:lang w:val="en-GB"/>
              </w:rPr>
              <w:t>LC50</w:t>
            </w:r>
          </w:p>
          <w:p w14:paraId="0D141C6C" w14:textId="01548110" w:rsidR="00001875" w:rsidRPr="00F4074B" w:rsidRDefault="00001875" w:rsidP="004672DA">
            <w:pPr>
              <w:pStyle w:val="TableText"/>
              <w:jc w:val="left"/>
              <w:rPr>
                <w:color w:val="000000"/>
              </w:rPr>
            </w:pPr>
            <w:r w:rsidRPr="00F4074B">
              <w:rPr>
                <w:color w:val="000000"/>
                <w:lang w:val="en-GB"/>
              </w:rPr>
              <w:t>(Mortality)</w:t>
            </w:r>
          </w:p>
        </w:tc>
        <w:tc>
          <w:tcPr>
            <w:tcW w:w="608" w:type="pct"/>
            <w:shd w:val="clear" w:color="auto" w:fill="auto"/>
          </w:tcPr>
          <w:p w14:paraId="57930664" w14:textId="0C1B9F96" w:rsidR="00001875" w:rsidRPr="00F4074B" w:rsidRDefault="00001875" w:rsidP="004672DA">
            <w:pPr>
              <w:pStyle w:val="TableText"/>
              <w:jc w:val="left"/>
              <w:rPr>
                <w:color w:val="000000"/>
              </w:rPr>
            </w:pPr>
            <w:r w:rsidRPr="00F4074B">
              <w:rPr>
                <w:color w:val="000000"/>
                <w:lang w:val="en-GB"/>
              </w:rPr>
              <w:t>Tap water</w:t>
            </w:r>
          </w:p>
        </w:tc>
        <w:tc>
          <w:tcPr>
            <w:tcW w:w="304" w:type="pct"/>
            <w:shd w:val="clear" w:color="auto" w:fill="auto"/>
          </w:tcPr>
          <w:p w14:paraId="3E691C25" w14:textId="1AC5F11F" w:rsidR="00001875" w:rsidRPr="00F4074B" w:rsidRDefault="00001875" w:rsidP="004672DA">
            <w:pPr>
              <w:pStyle w:val="TableText"/>
              <w:jc w:val="left"/>
              <w:rPr>
                <w:color w:val="000000"/>
              </w:rPr>
            </w:pPr>
            <w:r w:rsidRPr="00F4074B">
              <w:rPr>
                <w:color w:val="000000"/>
                <w:lang w:val="en-GB"/>
              </w:rPr>
              <w:t>26 ± 2</w:t>
            </w:r>
          </w:p>
        </w:tc>
        <w:tc>
          <w:tcPr>
            <w:tcW w:w="305" w:type="pct"/>
            <w:shd w:val="clear" w:color="auto" w:fill="auto"/>
          </w:tcPr>
          <w:p w14:paraId="61698DE8" w14:textId="736999D7" w:rsidR="00001875" w:rsidRPr="00F4074B" w:rsidRDefault="00001875" w:rsidP="004672DA">
            <w:pPr>
              <w:pStyle w:val="TableText"/>
              <w:jc w:val="left"/>
              <w:rPr>
                <w:color w:val="000000"/>
              </w:rPr>
            </w:pPr>
            <w:r>
              <w:rPr>
                <w:color w:val="000000"/>
                <w:lang w:val="en-GB"/>
              </w:rPr>
              <w:t>–</w:t>
            </w:r>
          </w:p>
        </w:tc>
        <w:tc>
          <w:tcPr>
            <w:tcW w:w="510" w:type="pct"/>
            <w:shd w:val="clear" w:color="auto" w:fill="auto"/>
          </w:tcPr>
          <w:p w14:paraId="2975EEA6" w14:textId="7BBAAB5F" w:rsidR="00001875" w:rsidRPr="000F0A7D" w:rsidRDefault="00001875" w:rsidP="004672DA">
            <w:pPr>
              <w:pStyle w:val="TableText"/>
              <w:jc w:val="left"/>
              <w:rPr>
                <w:color w:val="000000"/>
              </w:rPr>
            </w:pPr>
            <w:r w:rsidRPr="000F0A7D">
              <w:rPr>
                <w:color w:val="000000"/>
                <w:lang w:val="en-GB"/>
              </w:rPr>
              <w:t>7.3</w:t>
            </w:r>
          </w:p>
        </w:tc>
        <w:tc>
          <w:tcPr>
            <w:tcW w:w="591" w:type="pct"/>
            <w:shd w:val="clear" w:color="auto" w:fill="auto"/>
          </w:tcPr>
          <w:p w14:paraId="2C512954" w14:textId="434D50D9" w:rsidR="00001875" w:rsidRPr="00F4074B" w:rsidRDefault="00001875" w:rsidP="004672DA">
            <w:pPr>
              <w:pStyle w:val="TableText"/>
              <w:jc w:val="left"/>
              <w:rPr>
                <w:color w:val="000000"/>
              </w:rPr>
            </w:pPr>
            <w:r w:rsidRPr="00F4074B">
              <w:rPr>
                <w:color w:val="000000"/>
                <w:lang w:val="en-GB"/>
              </w:rPr>
              <w:t>Ali et al. (1998)</w:t>
            </w:r>
          </w:p>
        </w:tc>
      </w:tr>
      <w:tr w:rsidR="00CC08AE" w:rsidRPr="00A61E13" w14:paraId="773EFC34" w14:textId="0823800F" w:rsidTr="00CC08AE">
        <w:trPr>
          <w:cantSplit/>
        </w:trPr>
        <w:tc>
          <w:tcPr>
            <w:tcW w:w="405" w:type="pct"/>
            <w:vMerge/>
          </w:tcPr>
          <w:p w14:paraId="5FBE91DF" w14:textId="50957DC9" w:rsidR="00001875" w:rsidRPr="00F4074B" w:rsidRDefault="00001875" w:rsidP="004672DA">
            <w:pPr>
              <w:pStyle w:val="TableText"/>
              <w:jc w:val="left"/>
              <w:rPr>
                <w:color w:val="000000"/>
              </w:rPr>
            </w:pPr>
          </w:p>
        </w:tc>
        <w:tc>
          <w:tcPr>
            <w:tcW w:w="557" w:type="pct"/>
            <w:vMerge/>
          </w:tcPr>
          <w:p w14:paraId="2CEEF154" w14:textId="11740905" w:rsidR="00001875" w:rsidRPr="00F4074B" w:rsidRDefault="00001875" w:rsidP="004672DA">
            <w:pPr>
              <w:pStyle w:val="TableText"/>
              <w:jc w:val="left"/>
              <w:rPr>
                <w:i/>
                <w:iCs/>
                <w:color w:val="000000"/>
              </w:rPr>
            </w:pPr>
          </w:p>
        </w:tc>
        <w:tc>
          <w:tcPr>
            <w:tcW w:w="455" w:type="pct"/>
          </w:tcPr>
          <w:p w14:paraId="65ACEAC5" w14:textId="4C1A5231" w:rsidR="00001875" w:rsidRPr="00FA33D3" w:rsidRDefault="00001875" w:rsidP="004672DA">
            <w:pPr>
              <w:pStyle w:val="TableText"/>
              <w:jc w:val="left"/>
              <w:rPr>
                <w:color w:val="000000"/>
              </w:rPr>
            </w:pPr>
            <w:r w:rsidRPr="00FA33D3">
              <w:rPr>
                <w:color w:val="000000"/>
                <w:lang w:val="en-GB"/>
              </w:rPr>
              <w:t>First instar larva</w:t>
            </w:r>
          </w:p>
        </w:tc>
        <w:tc>
          <w:tcPr>
            <w:tcW w:w="354" w:type="pct"/>
          </w:tcPr>
          <w:p w14:paraId="35B77DCE" w14:textId="3D9B3204" w:rsidR="00001875" w:rsidRPr="00F4074B" w:rsidRDefault="00001875" w:rsidP="004672DA">
            <w:pPr>
              <w:pStyle w:val="TableText"/>
              <w:jc w:val="left"/>
              <w:rPr>
                <w:color w:val="000000"/>
              </w:rPr>
            </w:pPr>
            <w:r w:rsidRPr="00F4074B">
              <w:rPr>
                <w:color w:val="000000"/>
                <w:lang w:val="en-GB"/>
              </w:rPr>
              <w:t>2</w:t>
            </w:r>
          </w:p>
        </w:tc>
        <w:tc>
          <w:tcPr>
            <w:tcW w:w="355" w:type="pct"/>
          </w:tcPr>
          <w:p w14:paraId="5B621370" w14:textId="1E71D31C" w:rsidR="00001875" w:rsidRPr="00F4074B" w:rsidRDefault="00001875" w:rsidP="004672DA">
            <w:pPr>
              <w:pStyle w:val="TableText"/>
              <w:jc w:val="left"/>
              <w:rPr>
                <w:color w:val="000000"/>
              </w:rPr>
            </w:pPr>
            <w:r w:rsidRPr="00F4074B">
              <w:rPr>
                <w:color w:val="000000"/>
                <w:lang w:val="en-GB"/>
              </w:rPr>
              <w:t>Acute</w:t>
            </w:r>
          </w:p>
        </w:tc>
        <w:tc>
          <w:tcPr>
            <w:tcW w:w="556" w:type="pct"/>
          </w:tcPr>
          <w:p w14:paraId="5C72B473" w14:textId="77777777" w:rsidR="00001875" w:rsidRDefault="00001875" w:rsidP="004672DA">
            <w:pPr>
              <w:pStyle w:val="TableText"/>
              <w:jc w:val="left"/>
              <w:rPr>
                <w:color w:val="000000"/>
                <w:lang w:val="en-GB"/>
              </w:rPr>
            </w:pPr>
            <w:r w:rsidRPr="00F4074B">
              <w:rPr>
                <w:color w:val="000000"/>
                <w:lang w:val="en-GB"/>
              </w:rPr>
              <w:t>LC50</w:t>
            </w:r>
          </w:p>
          <w:p w14:paraId="5C909417" w14:textId="3781832C" w:rsidR="00001875" w:rsidRPr="00F4074B" w:rsidRDefault="00001875" w:rsidP="004672DA">
            <w:pPr>
              <w:pStyle w:val="TableText"/>
              <w:jc w:val="left"/>
              <w:rPr>
                <w:color w:val="000000"/>
              </w:rPr>
            </w:pPr>
            <w:r w:rsidRPr="00F4074B">
              <w:rPr>
                <w:color w:val="000000"/>
                <w:lang w:val="en-GB"/>
              </w:rPr>
              <w:t>(Mortality)</w:t>
            </w:r>
          </w:p>
        </w:tc>
        <w:tc>
          <w:tcPr>
            <w:tcW w:w="608" w:type="pct"/>
          </w:tcPr>
          <w:p w14:paraId="318E1F7B" w14:textId="407F648E" w:rsidR="00001875" w:rsidRPr="00F4074B" w:rsidRDefault="00001875" w:rsidP="004672DA">
            <w:pPr>
              <w:pStyle w:val="TableText"/>
              <w:jc w:val="left"/>
              <w:rPr>
                <w:color w:val="000000"/>
              </w:rPr>
            </w:pPr>
            <w:r w:rsidRPr="00F4074B">
              <w:rPr>
                <w:color w:val="000000"/>
                <w:lang w:val="en-GB"/>
              </w:rPr>
              <w:t>Tap water</w:t>
            </w:r>
          </w:p>
        </w:tc>
        <w:tc>
          <w:tcPr>
            <w:tcW w:w="304" w:type="pct"/>
          </w:tcPr>
          <w:p w14:paraId="345A8574" w14:textId="72417400" w:rsidR="00001875" w:rsidRPr="00F4074B" w:rsidRDefault="00001875" w:rsidP="004672DA">
            <w:pPr>
              <w:pStyle w:val="TableText"/>
              <w:jc w:val="left"/>
              <w:rPr>
                <w:color w:val="000000"/>
              </w:rPr>
            </w:pPr>
            <w:r w:rsidRPr="00F4074B">
              <w:rPr>
                <w:color w:val="000000"/>
                <w:lang w:val="en-GB"/>
              </w:rPr>
              <w:t>26 ± 2</w:t>
            </w:r>
          </w:p>
        </w:tc>
        <w:tc>
          <w:tcPr>
            <w:tcW w:w="305" w:type="pct"/>
          </w:tcPr>
          <w:p w14:paraId="0FBE8FD5" w14:textId="28CFF4AC" w:rsidR="00001875" w:rsidRPr="00F4074B" w:rsidRDefault="00001875" w:rsidP="004672DA">
            <w:pPr>
              <w:pStyle w:val="TableText"/>
              <w:jc w:val="left"/>
              <w:rPr>
                <w:color w:val="000000"/>
              </w:rPr>
            </w:pPr>
            <w:r>
              <w:rPr>
                <w:color w:val="000000"/>
                <w:lang w:val="en-GB"/>
              </w:rPr>
              <w:t>–</w:t>
            </w:r>
          </w:p>
        </w:tc>
        <w:tc>
          <w:tcPr>
            <w:tcW w:w="510" w:type="pct"/>
          </w:tcPr>
          <w:p w14:paraId="1CA085F2" w14:textId="6D045C9B" w:rsidR="00001875" w:rsidRPr="000F0A7D" w:rsidRDefault="00001875" w:rsidP="004672DA">
            <w:pPr>
              <w:pStyle w:val="TableText"/>
              <w:jc w:val="left"/>
              <w:rPr>
                <w:color w:val="000000"/>
              </w:rPr>
            </w:pPr>
            <w:r w:rsidRPr="000F0A7D">
              <w:rPr>
                <w:color w:val="000000"/>
                <w:lang w:val="en-GB"/>
              </w:rPr>
              <w:t>4.6</w:t>
            </w:r>
          </w:p>
        </w:tc>
        <w:tc>
          <w:tcPr>
            <w:tcW w:w="591" w:type="pct"/>
          </w:tcPr>
          <w:p w14:paraId="553F44CB" w14:textId="5B619ABF" w:rsidR="00001875" w:rsidRPr="00F4074B" w:rsidRDefault="00001875" w:rsidP="004672DA">
            <w:pPr>
              <w:pStyle w:val="TableText"/>
              <w:jc w:val="left"/>
              <w:rPr>
                <w:i/>
                <w:color w:val="000000"/>
              </w:rPr>
            </w:pPr>
            <w:r w:rsidRPr="00F4074B">
              <w:rPr>
                <w:color w:val="000000"/>
                <w:lang w:val="en-GB"/>
              </w:rPr>
              <w:t>Ali et al. (1998)</w:t>
            </w:r>
          </w:p>
        </w:tc>
      </w:tr>
      <w:tr w:rsidR="00CC08AE" w:rsidRPr="00A61E13" w14:paraId="6D0F4E2C"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tcBorders>
              <w:bottom w:val="nil"/>
            </w:tcBorders>
            <w:shd w:val="clear" w:color="auto" w:fill="auto"/>
          </w:tcPr>
          <w:p w14:paraId="6A7C19AD" w14:textId="77777777" w:rsidR="00001875" w:rsidRPr="00F4074B" w:rsidRDefault="00001875" w:rsidP="004672DA">
            <w:pPr>
              <w:pStyle w:val="TableText"/>
              <w:jc w:val="left"/>
              <w:rPr>
                <w:color w:val="000000"/>
              </w:rPr>
            </w:pPr>
          </w:p>
        </w:tc>
        <w:tc>
          <w:tcPr>
            <w:tcW w:w="557" w:type="pct"/>
            <w:vMerge/>
            <w:tcBorders>
              <w:bottom w:val="nil"/>
            </w:tcBorders>
            <w:shd w:val="clear" w:color="auto" w:fill="auto"/>
          </w:tcPr>
          <w:p w14:paraId="35F1F923" w14:textId="77777777" w:rsidR="00001875" w:rsidRPr="00F4074B" w:rsidRDefault="00001875" w:rsidP="004672DA">
            <w:pPr>
              <w:pStyle w:val="TableText"/>
              <w:jc w:val="left"/>
              <w:rPr>
                <w:i/>
                <w:iCs/>
                <w:color w:val="000000"/>
              </w:rPr>
            </w:pPr>
          </w:p>
        </w:tc>
        <w:tc>
          <w:tcPr>
            <w:tcW w:w="455" w:type="pct"/>
            <w:tcBorders>
              <w:bottom w:val="nil"/>
            </w:tcBorders>
            <w:shd w:val="clear" w:color="auto" w:fill="auto"/>
          </w:tcPr>
          <w:p w14:paraId="1EEF7940" w14:textId="32F59C03" w:rsidR="00001875" w:rsidRPr="00FA33D3" w:rsidRDefault="00001875" w:rsidP="004672DA">
            <w:pPr>
              <w:pStyle w:val="TableText"/>
              <w:jc w:val="left"/>
              <w:rPr>
                <w:color w:val="000000"/>
                <w:lang w:val="en-GB"/>
              </w:rPr>
            </w:pPr>
            <w:r w:rsidRPr="00FA33D3">
              <w:rPr>
                <w:color w:val="000000"/>
                <w:lang w:val="en-GB"/>
              </w:rPr>
              <w:t>Fourth instar larva</w:t>
            </w:r>
          </w:p>
        </w:tc>
        <w:tc>
          <w:tcPr>
            <w:tcW w:w="354" w:type="pct"/>
            <w:tcBorders>
              <w:bottom w:val="nil"/>
            </w:tcBorders>
            <w:shd w:val="clear" w:color="auto" w:fill="auto"/>
          </w:tcPr>
          <w:p w14:paraId="640B554E" w14:textId="34894545" w:rsidR="00001875" w:rsidRPr="00F4074B" w:rsidRDefault="00001875" w:rsidP="004672DA">
            <w:pPr>
              <w:pStyle w:val="TableText"/>
              <w:jc w:val="left"/>
              <w:rPr>
                <w:color w:val="000000"/>
                <w:lang w:val="en-GB"/>
              </w:rPr>
            </w:pPr>
            <w:r>
              <w:rPr>
                <w:color w:val="000000"/>
                <w:lang w:val="en-GB"/>
              </w:rPr>
              <w:t>2</w:t>
            </w:r>
          </w:p>
        </w:tc>
        <w:tc>
          <w:tcPr>
            <w:tcW w:w="355" w:type="pct"/>
            <w:tcBorders>
              <w:bottom w:val="nil"/>
            </w:tcBorders>
            <w:shd w:val="clear" w:color="auto" w:fill="auto"/>
          </w:tcPr>
          <w:p w14:paraId="21D46F00" w14:textId="04140558" w:rsidR="00001875" w:rsidRPr="00F4074B" w:rsidRDefault="00001875" w:rsidP="004672DA">
            <w:pPr>
              <w:pStyle w:val="TableText"/>
              <w:jc w:val="left"/>
              <w:rPr>
                <w:color w:val="000000"/>
                <w:lang w:val="en-GB"/>
              </w:rPr>
            </w:pPr>
            <w:r>
              <w:rPr>
                <w:color w:val="000000"/>
                <w:lang w:val="en-GB"/>
              </w:rPr>
              <w:t>Acute</w:t>
            </w:r>
          </w:p>
        </w:tc>
        <w:tc>
          <w:tcPr>
            <w:tcW w:w="556" w:type="pct"/>
            <w:tcBorders>
              <w:bottom w:val="nil"/>
            </w:tcBorders>
            <w:shd w:val="clear" w:color="auto" w:fill="auto"/>
          </w:tcPr>
          <w:p w14:paraId="403BDCEC" w14:textId="77777777" w:rsidR="00001875" w:rsidRDefault="00001875" w:rsidP="004672DA">
            <w:pPr>
              <w:pStyle w:val="TableText"/>
              <w:jc w:val="left"/>
              <w:rPr>
                <w:color w:val="000000"/>
                <w:lang w:val="en-GB"/>
              </w:rPr>
            </w:pPr>
            <w:r>
              <w:rPr>
                <w:color w:val="000000"/>
                <w:lang w:val="en-GB"/>
              </w:rPr>
              <w:t>LC50</w:t>
            </w:r>
          </w:p>
          <w:p w14:paraId="6DB3086C" w14:textId="5397328F" w:rsidR="00001875" w:rsidRPr="00F4074B" w:rsidRDefault="00001875" w:rsidP="004672DA">
            <w:pPr>
              <w:pStyle w:val="TableText"/>
              <w:jc w:val="left"/>
              <w:rPr>
                <w:color w:val="000000"/>
                <w:lang w:val="en-GB"/>
              </w:rPr>
            </w:pPr>
            <w:r>
              <w:rPr>
                <w:color w:val="000000"/>
                <w:lang w:val="en-GB"/>
              </w:rPr>
              <w:t>(Mortality)</w:t>
            </w:r>
          </w:p>
        </w:tc>
        <w:tc>
          <w:tcPr>
            <w:tcW w:w="608" w:type="pct"/>
            <w:tcBorders>
              <w:bottom w:val="nil"/>
            </w:tcBorders>
            <w:shd w:val="clear" w:color="auto" w:fill="auto"/>
          </w:tcPr>
          <w:p w14:paraId="085704A2" w14:textId="0FAD23B5" w:rsidR="00001875" w:rsidRPr="00F4074B" w:rsidRDefault="00001875" w:rsidP="004672DA">
            <w:pPr>
              <w:pStyle w:val="TableText"/>
              <w:jc w:val="left"/>
              <w:rPr>
                <w:color w:val="000000"/>
                <w:lang w:val="en-GB"/>
              </w:rPr>
            </w:pPr>
            <w:r>
              <w:rPr>
                <w:color w:val="000000"/>
                <w:lang w:val="en-GB"/>
              </w:rPr>
              <w:t>Tap water</w:t>
            </w:r>
          </w:p>
        </w:tc>
        <w:tc>
          <w:tcPr>
            <w:tcW w:w="304" w:type="pct"/>
            <w:tcBorders>
              <w:bottom w:val="nil"/>
            </w:tcBorders>
            <w:shd w:val="clear" w:color="auto" w:fill="auto"/>
          </w:tcPr>
          <w:p w14:paraId="0D5975D3" w14:textId="003F8D88" w:rsidR="00001875" w:rsidRPr="00F4074B" w:rsidRDefault="00001875" w:rsidP="004672DA">
            <w:pPr>
              <w:pStyle w:val="TableText"/>
              <w:jc w:val="left"/>
              <w:rPr>
                <w:color w:val="000000"/>
                <w:lang w:val="en-GB"/>
              </w:rPr>
            </w:pPr>
            <w:r w:rsidRPr="00F4074B">
              <w:rPr>
                <w:color w:val="000000"/>
                <w:lang w:val="en-GB"/>
              </w:rPr>
              <w:t>2</w:t>
            </w:r>
            <w:r>
              <w:rPr>
                <w:color w:val="000000"/>
                <w:lang w:val="en-GB"/>
              </w:rPr>
              <w:t>8</w:t>
            </w:r>
            <w:r w:rsidRPr="00F4074B">
              <w:rPr>
                <w:color w:val="000000"/>
                <w:lang w:val="en-GB"/>
              </w:rPr>
              <w:t xml:space="preserve"> ± </w:t>
            </w:r>
            <w:r>
              <w:rPr>
                <w:color w:val="000000"/>
                <w:lang w:val="en-GB"/>
              </w:rPr>
              <w:t>3</w:t>
            </w:r>
          </w:p>
        </w:tc>
        <w:tc>
          <w:tcPr>
            <w:tcW w:w="305" w:type="pct"/>
            <w:tcBorders>
              <w:bottom w:val="nil"/>
            </w:tcBorders>
            <w:shd w:val="clear" w:color="auto" w:fill="auto"/>
          </w:tcPr>
          <w:p w14:paraId="3C09D141" w14:textId="136EEB5F" w:rsidR="00001875" w:rsidRPr="00F4074B" w:rsidRDefault="00001875" w:rsidP="004672DA">
            <w:pPr>
              <w:pStyle w:val="TableText"/>
              <w:jc w:val="left"/>
              <w:rPr>
                <w:color w:val="000000"/>
                <w:lang w:val="en-GB"/>
              </w:rPr>
            </w:pPr>
            <w:r>
              <w:rPr>
                <w:color w:val="000000"/>
                <w:lang w:val="en-GB"/>
              </w:rPr>
              <w:t>–</w:t>
            </w:r>
          </w:p>
        </w:tc>
        <w:tc>
          <w:tcPr>
            <w:tcW w:w="510" w:type="pct"/>
            <w:shd w:val="clear" w:color="auto" w:fill="auto"/>
          </w:tcPr>
          <w:p w14:paraId="5FAD8DE4" w14:textId="37EAE929" w:rsidR="00001875" w:rsidRPr="000F0A7D" w:rsidRDefault="00001875" w:rsidP="004672DA">
            <w:pPr>
              <w:pStyle w:val="TableText"/>
              <w:jc w:val="left"/>
              <w:rPr>
                <w:color w:val="000000"/>
                <w:lang w:val="en-GB"/>
              </w:rPr>
            </w:pPr>
            <w:r w:rsidRPr="000F0A7D">
              <w:rPr>
                <w:color w:val="000000"/>
                <w:lang w:val="en-GB"/>
              </w:rPr>
              <w:t>0.35</w:t>
            </w:r>
          </w:p>
        </w:tc>
        <w:tc>
          <w:tcPr>
            <w:tcW w:w="591" w:type="pct"/>
            <w:shd w:val="clear" w:color="auto" w:fill="auto"/>
          </w:tcPr>
          <w:p w14:paraId="20295785" w14:textId="29BB196A" w:rsidR="00001875" w:rsidRPr="00F4074B" w:rsidRDefault="00001875" w:rsidP="004672DA">
            <w:pPr>
              <w:pStyle w:val="TableText"/>
              <w:jc w:val="left"/>
              <w:rPr>
                <w:color w:val="000000"/>
                <w:lang w:val="en-GB"/>
              </w:rPr>
            </w:pPr>
            <w:r w:rsidRPr="00F4074B">
              <w:rPr>
                <w:color w:val="000000"/>
                <w:lang w:val="en-GB"/>
              </w:rPr>
              <w:t>Ali et al. (199</w:t>
            </w:r>
            <w:r>
              <w:rPr>
                <w:color w:val="000000"/>
                <w:lang w:val="en-GB"/>
              </w:rPr>
              <w:t>8</w:t>
            </w:r>
            <w:r w:rsidRPr="00F4074B">
              <w:rPr>
                <w:color w:val="000000"/>
                <w:lang w:val="en-GB"/>
              </w:rPr>
              <w:t>)</w:t>
            </w:r>
          </w:p>
        </w:tc>
      </w:tr>
      <w:tr w:rsidR="00C756C0" w:rsidRPr="00A61E13" w14:paraId="39254F32" w14:textId="77777777" w:rsidTr="00CC08AE">
        <w:trPr>
          <w:cantSplit/>
        </w:trPr>
        <w:tc>
          <w:tcPr>
            <w:tcW w:w="3899" w:type="pct"/>
            <w:gridSpan w:val="9"/>
            <w:vMerge w:val="restart"/>
            <w:tcBorders>
              <w:top w:val="nil"/>
            </w:tcBorders>
          </w:tcPr>
          <w:p w14:paraId="30D74C9B" w14:textId="58BDC9EB" w:rsidR="00C756C0" w:rsidRDefault="00C756C0" w:rsidP="00C756C0">
            <w:pPr>
              <w:pStyle w:val="TableText"/>
              <w:jc w:val="left"/>
              <w:rPr>
                <w:color w:val="000000"/>
                <w:lang w:val="en-GB"/>
              </w:rPr>
            </w:pPr>
            <w:r>
              <w:rPr>
                <w:color w:val="000000"/>
                <w:lang w:val="en-GB"/>
              </w:rPr>
              <w:t>–</w:t>
            </w:r>
          </w:p>
        </w:tc>
        <w:tc>
          <w:tcPr>
            <w:tcW w:w="510" w:type="pct"/>
          </w:tcPr>
          <w:p w14:paraId="4EA295C6" w14:textId="039AF77F" w:rsidR="00C756C0" w:rsidRPr="007259B3" w:rsidDel="00950C48" w:rsidRDefault="00C756C0" w:rsidP="004672DA">
            <w:pPr>
              <w:pStyle w:val="TableText"/>
              <w:jc w:val="left"/>
              <w:rPr>
                <w:i/>
                <w:iCs/>
                <w:color w:val="000000"/>
                <w:lang w:val="en-GB"/>
              </w:rPr>
            </w:pPr>
            <w:r w:rsidRPr="007259B3">
              <w:rPr>
                <w:i/>
                <w:iCs/>
                <w:color w:val="000000"/>
                <w:szCs w:val="20"/>
                <w:lang w:val="en-GB"/>
              </w:rPr>
              <w:t>2.3</w:t>
            </w:r>
          </w:p>
        </w:tc>
        <w:tc>
          <w:tcPr>
            <w:tcW w:w="591" w:type="pct"/>
          </w:tcPr>
          <w:p w14:paraId="4E58A100" w14:textId="2DD94AD7" w:rsidR="00C756C0" w:rsidRPr="007259B3" w:rsidRDefault="00C756C0" w:rsidP="004672DA">
            <w:pPr>
              <w:pStyle w:val="TableText"/>
              <w:jc w:val="left"/>
              <w:rPr>
                <w:i/>
                <w:iCs/>
                <w:color w:val="000000"/>
                <w:lang w:val="en-GB"/>
              </w:rPr>
            </w:pPr>
            <w:r w:rsidRPr="007259B3">
              <w:rPr>
                <w:i/>
                <w:iCs/>
                <w:color w:val="000000"/>
                <w:lang w:val="en-GB"/>
              </w:rPr>
              <w:t>Geometric mean</w:t>
            </w:r>
          </w:p>
        </w:tc>
      </w:tr>
      <w:tr w:rsidR="00C756C0" w:rsidRPr="00A61E13" w14:paraId="438CCC45" w14:textId="439FF6B5"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vMerge/>
            <w:shd w:val="clear" w:color="auto" w:fill="auto"/>
          </w:tcPr>
          <w:p w14:paraId="47651A3B" w14:textId="6D39E62F" w:rsidR="00C756C0" w:rsidRPr="00F4074B" w:rsidRDefault="00C756C0" w:rsidP="004672DA">
            <w:pPr>
              <w:pStyle w:val="TableText"/>
              <w:jc w:val="left"/>
              <w:rPr>
                <w:color w:val="000000"/>
              </w:rPr>
            </w:pPr>
          </w:p>
        </w:tc>
        <w:tc>
          <w:tcPr>
            <w:tcW w:w="510" w:type="pct"/>
            <w:shd w:val="clear" w:color="auto" w:fill="auto"/>
          </w:tcPr>
          <w:p w14:paraId="0CAC1E2E" w14:textId="3713180D" w:rsidR="00C756C0" w:rsidRPr="00F4074B" w:rsidRDefault="00C756C0" w:rsidP="004672DA">
            <w:pPr>
              <w:pStyle w:val="TableText"/>
              <w:jc w:val="left"/>
              <w:rPr>
                <w:i/>
                <w:color w:val="000000"/>
              </w:rPr>
            </w:pPr>
            <w:r w:rsidRPr="007259B3">
              <w:rPr>
                <w:b/>
                <w:bCs/>
                <w:color w:val="000000"/>
                <w:lang w:val="en-GB"/>
              </w:rPr>
              <w:t>0.23</w:t>
            </w:r>
            <w:r>
              <w:rPr>
                <w:color w:val="000000"/>
                <w:lang w:val="en-GB"/>
              </w:rPr>
              <w:t xml:space="preserve"> </w:t>
            </w:r>
            <w:r w:rsidRPr="00C64456">
              <w:rPr>
                <w:rStyle w:val="Strong"/>
                <w:vertAlign w:val="superscript"/>
              </w:rPr>
              <w:t>c</w:t>
            </w:r>
          </w:p>
        </w:tc>
        <w:tc>
          <w:tcPr>
            <w:tcW w:w="591" w:type="pct"/>
            <w:shd w:val="clear" w:color="auto" w:fill="auto"/>
          </w:tcPr>
          <w:p w14:paraId="420E8EE5" w14:textId="1DE6B552" w:rsidR="00C756C0" w:rsidRPr="007259B3" w:rsidRDefault="00C756C0" w:rsidP="004672DA">
            <w:pPr>
              <w:pStyle w:val="TableText"/>
              <w:jc w:val="left"/>
              <w:rPr>
                <w:b/>
                <w:bCs/>
                <w:iCs/>
                <w:color w:val="000000"/>
              </w:rPr>
            </w:pPr>
            <w:r w:rsidRPr="007259B3">
              <w:rPr>
                <w:b/>
                <w:bCs/>
                <w:iCs/>
                <w:color w:val="000000"/>
                <w:lang w:val="en-GB"/>
              </w:rPr>
              <w:t>Value used in SSD</w:t>
            </w:r>
          </w:p>
        </w:tc>
      </w:tr>
      <w:tr w:rsidR="00CC08AE" w:rsidRPr="00A61E13" w14:paraId="6181BE73" w14:textId="54FDAD21" w:rsidTr="00CC08AE">
        <w:trPr>
          <w:cantSplit/>
        </w:trPr>
        <w:tc>
          <w:tcPr>
            <w:tcW w:w="405" w:type="pct"/>
            <w:tcBorders>
              <w:bottom w:val="nil"/>
            </w:tcBorders>
          </w:tcPr>
          <w:p w14:paraId="14150FC2" w14:textId="54866C9C" w:rsidR="00001875" w:rsidRPr="00F4074B" w:rsidRDefault="00001875" w:rsidP="004672DA">
            <w:pPr>
              <w:pStyle w:val="TableText"/>
              <w:jc w:val="left"/>
              <w:rPr>
                <w:color w:val="000000"/>
              </w:rPr>
            </w:pPr>
            <w:r>
              <w:rPr>
                <w:color w:val="000000"/>
                <w:lang w:val="en-GB"/>
              </w:rPr>
              <w:t>Insect</w:t>
            </w:r>
          </w:p>
        </w:tc>
        <w:tc>
          <w:tcPr>
            <w:tcW w:w="557" w:type="pct"/>
            <w:tcBorders>
              <w:bottom w:val="nil"/>
            </w:tcBorders>
          </w:tcPr>
          <w:p w14:paraId="070A3F2D" w14:textId="38DB03AC" w:rsidR="00001875" w:rsidRPr="00F4074B" w:rsidRDefault="00001875" w:rsidP="004672DA">
            <w:pPr>
              <w:pStyle w:val="TableText"/>
              <w:jc w:val="left"/>
              <w:rPr>
                <w:iCs/>
                <w:color w:val="000000"/>
              </w:rPr>
            </w:pPr>
            <w:r w:rsidRPr="00F4074B">
              <w:rPr>
                <w:i/>
                <w:color w:val="000000"/>
                <w:lang w:val="en-GB"/>
              </w:rPr>
              <w:t>Glyptotendipes paripes</w:t>
            </w:r>
          </w:p>
        </w:tc>
        <w:tc>
          <w:tcPr>
            <w:tcW w:w="455" w:type="pct"/>
            <w:tcBorders>
              <w:bottom w:val="nil"/>
            </w:tcBorders>
          </w:tcPr>
          <w:p w14:paraId="2F264F94" w14:textId="26DED1E7" w:rsidR="00001875" w:rsidRPr="00F4074B" w:rsidRDefault="00001875" w:rsidP="004672DA">
            <w:pPr>
              <w:pStyle w:val="TableText"/>
              <w:jc w:val="left"/>
              <w:rPr>
                <w:color w:val="000000"/>
              </w:rPr>
            </w:pPr>
            <w:r w:rsidRPr="00F4074B">
              <w:rPr>
                <w:color w:val="000000"/>
                <w:lang w:val="en-GB"/>
              </w:rPr>
              <w:t>Fo</w:t>
            </w:r>
            <w:r>
              <w:rPr>
                <w:color w:val="000000"/>
                <w:lang w:val="en-GB"/>
              </w:rPr>
              <w:t>u</w:t>
            </w:r>
            <w:r w:rsidRPr="00F4074B">
              <w:rPr>
                <w:color w:val="000000"/>
                <w:lang w:val="en-GB"/>
              </w:rPr>
              <w:t>rth instar larva</w:t>
            </w:r>
          </w:p>
        </w:tc>
        <w:tc>
          <w:tcPr>
            <w:tcW w:w="354" w:type="pct"/>
            <w:tcBorders>
              <w:bottom w:val="nil"/>
            </w:tcBorders>
          </w:tcPr>
          <w:p w14:paraId="6BC7BD60" w14:textId="1F75CD08" w:rsidR="00001875" w:rsidRPr="00F4074B" w:rsidRDefault="00001875" w:rsidP="004672DA">
            <w:pPr>
              <w:pStyle w:val="TableText"/>
              <w:jc w:val="left"/>
              <w:rPr>
                <w:color w:val="000000"/>
              </w:rPr>
            </w:pPr>
            <w:r w:rsidRPr="00F4074B">
              <w:rPr>
                <w:color w:val="000000"/>
                <w:lang w:val="en-GB"/>
              </w:rPr>
              <w:t>2</w:t>
            </w:r>
          </w:p>
        </w:tc>
        <w:tc>
          <w:tcPr>
            <w:tcW w:w="355" w:type="pct"/>
            <w:tcBorders>
              <w:bottom w:val="nil"/>
            </w:tcBorders>
          </w:tcPr>
          <w:p w14:paraId="68B8F931" w14:textId="71DCA6C3" w:rsidR="00001875" w:rsidRPr="00F4074B" w:rsidRDefault="00001875" w:rsidP="004672DA">
            <w:pPr>
              <w:pStyle w:val="TableText"/>
              <w:jc w:val="left"/>
              <w:rPr>
                <w:color w:val="000000"/>
              </w:rPr>
            </w:pPr>
            <w:r w:rsidRPr="00F4074B">
              <w:rPr>
                <w:color w:val="000000"/>
                <w:lang w:val="en-GB"/>
              </w:rPr>
              <w:t>Acute</w:t>
            </w:r>
          </w:p>
        </w:tc>
        <w:tc>
          <w:tcPr>
            <w:tcW w:w="556" w:type="pct"/>
            <w:tcBorders>
              <w:bottom w:val="nil"/>
            </w:tcBorders>
          </w:tcPr>
          <w:p w14:paraId="1D72BC6D" w14:textId="77777777" w:rsidR="00001875" w:rsidRDefault="00001875" w:rsidP="004672DA">
            <w:pPr>
              <w:pStyle w:val="TableText"/>
              <w:jc w:val="left"/>
              <w:rPr>
                <w:color w:val="000000"/>
                <w:lang w:val="en-GB"/>
              </w:rPr>
            </w:pPr>
            <w:r w:rsidRPr="00F4074B">
              <w:rPr>
                <w:color w:val="000000"/>
                <w:lang w:val="en-GB"/>
              </w:rPr>
              <w:t>LC50</w:t>
            </w:r>
          </w:p>
          <w:p w14:paraId="1B3CCD9B" w14:textId="55B36E06" w:rsidR="00001875" w:rsidRPr="00F4074B" w:rsidRDefault="00001875" w:rsidP="004672DA">
            <w:pPr>
              <w:pStyle w:val="TableText"/>
              <w:jc w:val="left"/>
              <w:rPr>
                <w:color w:val="000000"/>
              </w:rPr>
            </w:pPr>
            <w:r w:rsidRPr="00F4074B">
              <w:rPr>
                <w:color w:val="000000"/>
                <w:lang w:val="en-GB"/>
              </w:rPr>
              <w:t>(Mortality)</w:t>
            </w:r>
          </w:p>
        </w:tc>
        <w:tc>
          <w:tcPr>
            <w:tcW w:w="608" w:type="pct"/>
            <w:tcBorders>
              <w:bottom w:val="nil"/>
            </w:tcBorders>
          </w:tcPr>
          <w:p w14:paraId="06A87001" w14:textId="2B6ECD68" w:rsidR="00001875" w:rsidRPr="00F4074B" w:rsidRDefault="00001875" w:rsidP="004672DA">
            <w:pPr>
              <w:pStyle w:val="TableText"/>
              <w:jc w:val="left"/>
              <w:rPr>
                <w:color w:val="000000"/>
              </w:rPr>
            </w:pPr>
            <w:r w:rsidRPr="00F4074B">
              <w:rPr>
                <w:color w:val="000000"/>
                <w:lang w:val="en-GB"/>
              </w:rPr>
              <w:t>Tap water</w:t>
            </w:r>
          </w:p>
        </w:tc>
        <w:tc>
          <w:tcPr>
            <w:tcW w:w="304" w:type="pct"/>
            <w:tcBorders>
              <w:bottom w:val="nil"/>
            </w:tcBorders>
          </w:tcPr>
          <w:p w14:paraId="06DD8ECA" w14:textId="54CACB9F" w:rsidR="00001875" w:rsidRPr="00F4074B" w:rsidRDefault="00001875" w:rsidP="004672DA">
            <w:pPr>
              <w:pStyle w:val="TableText"/>
              <w:jc w:val="left"/>
              <w:rPr>
                <w:color w:val="000000"/>
              </w:rPr>
            </w:pPr>
            <w:r w:rsidRPr="00F4074B">
              <w:rPr>
                <w:color w:val="000000"/>
                <w:lang w:val="en-GB"/>
              </w:rPr>
              <w:t>26 ± 2</w:t>
            </w:r>
          </w:p>
        </w:tc>
        <w:tc>
          <w:tcPr>
            <w:tcW w:w="305" w:type="pct"/>
            <w:tcBorders>
              <w:bottom w:val="nil"/>
            </w:tcBorders>
          </w:tcPr>
          <w:p w14:paraId="7CBB863D" w14:textId="4D276056" w:rsidR="00001875" w:rsidRPr="00F4074B" w:rsidRDefault="00001875" w:rsidP="004672DA">
            <w:pPr>
              <w:pStyle w:val="TableText"/>
              <w:jc w:val="left"/>
              <w:rPr>
                <w:color w:val="000000"/>
              </w:rPr>
            </w:pPr>
            <w:r>
              <w:rPr>
                <w:color w:val="000000"/>
                <w:lang w:val="en-GB"/>
              </w:rPr>
              <w:t>–</w:t>
            </w:r>
          </w:p>
        </w:tc>
        <w:tc>
          <w:tcPr>
            <w:tcW w:w="510" w:type="pct"/>
          </w:tcPr>
          <w:p w14:paraId="4119CE77" w14:textId="2C118107" w:rsidR="00001875" w:rsidRPr="00F4074B" w:rsidRDefault="00001875" w:rsidP="004672DA">
            <w:pPr>
              <w:pStyle w:val="TableText"/>
              <w:jc w:val="left"/>
              <w:rPr>
                <w:i/>
                <w:color w:val="000000"/>
              </w:rPr>
            </w:pPr>
            <w:r w:rsidRPr="00F4074B">
              <w:rPr>
                <w:color w:val="000000"/>
                <w:lang w:val="en-GB"/>
              </w:rPr>
              <w:t>0.42</w:t>
            </w:r>
          </w:p>
        </w:tc>
        <w:tc>
          <w:tcPr>
            <w:tcW w:w="591" w:type="pct"/>
          </w:tcPr>
          <w:p w14:paraId="16129242" w14:textId="368FC03D" w:rsidR="00001875" w:rsidRPr="00F4074B" w:rsidRDefault="00001875" w:rsidP="004672DA">
            <w:pPr>
              <w:pStyle w:val="TableText"/>
              <w:jc w:val="left"/>
              <w:rPr>
                <w:i/>
                <w:color w:val="000000"/>
              </w:rPr>
            </w:pPr>
            <w:r w:rsidRPr="00F4074B">
              <w:rPr>
                <w:color w:val="000000"/>
                <w:lang w:val="en-GB"/>
              </w:rPr>
              <w:t>Ali et al. (1998)</w:t>
            </w:r>
          </w:p>
        </w:tc>
      </w:tr>
      <w:tr w:rsidR="00550386" w:rsidRPr="00A61E13" w14:paraId="623BD69F" w14:textId="43CEB4B5"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tcBorders>
              <w:top w:val="nil"/>
            </w:tcBorders>
            <w:shd w:val="clear" w:color="auto" w:fill="auto"/>
          </w:tcPr>
          <w:p w14:paraId="68BDC346" w14:textId="5CBD8B4B" w:rsidR="00550386" w:rsidRPr="00F4074B" w:rsidRDefault="00C52BA4" w:rsidP="004672DA">
            <w:pPr>
              <w:pStyle w:val="TableText"/>
              <w:jc w:val="left"/>
              <w:rPr>
                <w:color w:val="000000"/>
              </w:rPr>
            </w:pPr>
            <w:r>
              <w:rPr>
                <w:color w:val="000000"/>
              </w:rPr>
              <w:t>–</w:t>
            </w:r>
          </w:p>
        </w:tc>
        <w:tc>
          <w:tcPr>
            <w:tcW w:w="510" w:type="pct"/>
            <w:shd w:val="clear" w:color="auto" w:fill="auto"/>
          </w:tcPr>
          <w:p w14:paraId="52F9468B" w14:textId="7AA79FC6" w:rsidR="00550386" w:rsidRPr="00F4074B" w:rsidRDefault="00550386" w:rsidP="004672DA">
            <w:pPr>
              <w:pStyle w:val="TableText"/>
              <w:jc w:val="left"/>
              <w:rPr>
                <w:color w:val="000000"/>
              </w:rPr>
            </w:pPr>
            <w:r w:rsidRPr="007259B3">
              <w:rPr>
                <w:b/>
                <w:bCs/>
                <w:color w:val="000000"/>
                <w:lang w:val="en-GB"/>
              </w:rPr>
              <w:t>0.042</w:t>
            </w:r>
            <w:r>
              <w:rPr>
                <w:color w:val="000000"/>
                <w:lang w:val="en-GB"/>
              </w:rPr>
              <w:t xml:space="preserve"> </w:t>
            </w:r>
            <w:r w:rsidRPr="00C64456">
              <w:rPr>
                <w:rStyle w:val="Strong"/>
                <w:vertAlign w:val="superscript"/>
              </w:rPr>
              <w:t>c</w:t>
            </w:r>
          </w:p>
        </w:tc>
        <w:tc>
          <w:tcPr>
            <w:tcW w:w="591" w:type="pct"/>
            <w:shd w:val="clear" w:color="auto" w:fill="auto"/>
          </w:tcPr>
          <w:p w14:paraId="401434D6" w14:textId="4C14147B" w:rsidR="00550386" w:rsidRPr="007259B3" w:rsidRDefault="00550386" w:rsidP="004672DA">
            <w:pPr>
              <w:pStyle w:val="TableText"/>
              <w:jc w:val="left"/>
              <w:rPr>
                <w:b/>
                <w:bCs/>
                <w:iCs/>
              </w:rPr>
            </w:pPr>
            <w:r>
              <w:rPr>
                <w:b/>
                <w:bCs/>
                <w:iCs/>
                <w:color w:val="000000"/>
                <w:lang w:val="en-GB"/>
              </w:rPr>
              <w:t>V</w:t>
            </w:r>
            <w:r w:rsidRPr="007259B3">
              <w:rPr>
                <w:b/>
                <w:bCs/>
                <w:iCs/>
                <w:color w:val="000000"/>
                <w:lang w:val="en-GB"/>
              </w:rPr>
              <w:t>alue used in SSD</w:t>
            </w:r>
          </w:p>
        </w:tc>
      </w:tr>
      <w:tr w:rsidR="00CC08AE" w:rsidRPr="00A61E13" w14:paraId="0CE7897E" w14:textId="34A9FAD0" w:rsidTr="00CC08AE">
        <w:trPr>
          <w:cantSplit/>
        </w:trPr>
        <w:tc>
          <w:tcPr>
            <w:tcW w:w="405" w:type="pct"/>
            <w:tcBorders>
              <w:bottom w:val="nil"/>
            </w:tcBorders>
          </w:tcPr>
          <w:p w14:paraId="66116B95" w14:textId="6F18411F" w:rsidR="00001875" w:rsidRPr="00F4074B" w:rsidRDefault="00001875" w:rsidP="004672DA">
            <w:pPr>
              <w:pStyle w:val="TableText"/>
              <w:jc w:val="left"/>
              <w:rPr>
                <w:color w:val="000000"/>
              </w:rPr>
            </w:pPr>
            <w:r>
              <w:rPr>
                <w:color w:val="000000"/>
                <w:lang w:val="en-GB"/>
              </w:rPr>
              <w:t>Insect</w:t>
            </w:r>
          </w:p>
        </w:tc>
        <w:tc>
          <w:tcPr>
            <w:tcW w:w="557" w:type="pct"/>
            <w:tcBorders>
              <w:bottom w:val="nil"/>
            </w:tcBorders>
          </w:tcPr>
          <w:p w14:paraId="45592492" w14:textId="7137BC60" w:rsidR="00001875" w:rsidRPr="00F4074B" w:rsidRDefault="00001875" w:rsidP="004672DA">
            <w:pPr>
              <w:pStyle w:val="TableText"/>
              <w:jc w:val="left"/>
              <w:rPr>
                <w:iCs/>
                <w:color w:val="000000"/>
              </w:rPr>
            </w:pPr>
            <w:r w:rsidRPr="00F4074B">
              <w:rPr>
                <w:i/>
                <w:color w:val="000000"/>
                <w:lang w:val="en-GB"/>
              </w:rPr>
              <w:t xml:space="preserve">Hexagenia </w:t>
            </w:r>
            <w:r w:rsidRPr="00E9611F">
              <w:rPr>
                <w:color w:val="000000"/>
                <w:lang w:val="en-GB"/>
              </w:rPr>
              <w:t>sp.</w:t>
            </w:r>
          </w:p>
        </w:tc>
        <w:tc>
          <w:tcPr>
            <w:tcW w:w="455" w:type="pct"/>
            <w:tcBorders>
              <w:bottom w:val="nil"/>
            </w:tcBorders>
          </w:tcPr>
          <w:p w14:paraId="07DCCF08" w14:textId="639739A7" w:rsidR="00001875" w:rsidRPr="00F4074B" w:rsidRDefault="00001875" w:rsidP="004672DA">
            <w:pPr>
              <w:pStyle w:val="TableText"/>
              <w:jc w:val="left"/>
              <w:rPr>
                <w:color w:val="000000"/>
              </w:rPr>
            </w:pPr>
            <w:r w:rsidRPr="00F4074B">
              <w:rPr>
                <w:color w:val="000000"/>
                <w:lang w:val="en-GB"/>
              </w:rPr>
              <w:t>Nymph</w:t>
            </w:r>
          </w:p>
        </w:tc>
        <w:tc>
          <w:tcPr>
            <w:tcW w:w="354" w:type="pct"/>
            <w:tcBorders>
              <w:bottom w:val="nil"/>
            </w:tcBorders>
          </w:tcPr>
          <w:p w14:paraId="3CFF1F27" w14:textId="3B8B9E46" w:rsidR="00001875" w:rsidRPr="00F4074B" w:rsidRDefault="00001875" w:rsidP="004672DA">
            <w:pPr>
              <w:pStyle w:val="TableText"/>
              <w:jc w:val="left"/>
              <w:rPr>
                <w:color w:val="000000"/>
              </w:rPr>
            </w:pPr>
            <w:r w:rsidRPr="00F4074B">
              <w:rPr>
                <w:color w:val="000000"/>
                <w:lang w:val="en-GB"/>
              </w:rPr>
              <w:t>4</w:t>
            </w:r>
          </w:p>
        </w:tc>
        <w:tc>
          <w:tcPr>
            <w:tcW w:w="355" w:type="pct"/>
            <w:tcBorders>
              <w:bottom w:val="nil"/>
            </w:tcBorders>
          </w:tcPr>
          <w:p w14:paraId="225AEC51" w14:textId="1A5FAA3F" w:rsidR="00001875" w:rsidRPr="00F4074B" w:rsidRDefault="00001875" w:rsidP="004672DA">
            <w:pPr>
              <w:pStyle w:val="TableText"/>
              <w:jc w:val="left"/>
              <w:rPr>
                <w:color w:val="000000"/>
              </w:rPr>
            </w:pPr>
            <w:r w:rsidRPr="00F4074B">
              <w:rPr>
                <w:color w:val="000000"/>
                <w:lang w:val="en-GB"/>
              </w:rPr>
              <w:t>Acute</w:t>
            </w:r>
          </w:p>
        </w:tc>
        <w:tc>
          <w:tcPr>
            <w:tcW w:w="556" w:type="pct"/>
            <w:tcBorders>
              <w:bottom w:val="nil"/>
            </w:tcBorders>
          </w:tcPr>
          <w:p w14:paraId="4F361D62" w14:textId="77777777" w:rsidR="00001875" w:rsidRDefault="00001875" w:rsidP="004672DA">
            <w:pPr>
              <w:pStyle w:val="TableText"/>
              <w:jc w:val="left"/>
              <w:rPr>
                <w:color w:val="000000"/>
                <w:lang w:val="en-GB"/>
              </w:rPr>
            </w:pPr>
            <w:r w:rsidRPr="00F4074B">
              <w:rPr>
                <w:color w:val="000000"/>
                <w:lang w:val="en-GB"/>
              </w:rPr>
              <w:t>LC50</w:t>
            </w:r>
          </w:p>
          <w:p w14:paraId="1528AE67" w14:textId="45B86659" w:rsidR="00001875" w:rsidRPr="00F4074B" w:rsidRDefault="00001875" w:rsidP="004672DA">
            <w:pPr>
              <w:pStyle w:val="TableText"/>
              <w:jc w:val="left"/>
              <w:rPr>
                <w:color w:val="000000"/>
              </w:rPr>
            </w:pPr>
            <w:r w:rsidRPr="00F4074B">
              <w:rPr>
                <w:color w:val="000000"/>
                <w:lang w:val="en-GB"/>
              </w:rPr>
              <w:t>(</w:t>
            </w:r>
            <w:r w:rsidR="00B257E4">
              <w:rPr>
                <w:color w:val="000000"/>
                <w:lang w:val="en-GB"/>
              </w:rPr>
              <w:t>Immobilisation</w:t>
            </w:r>
            <w:r w:rsidRPr="00F4074B">
              <w:rPr>
                <w:color w:val="000000"/>
                <w:lang w:val="en-GB"/>
              </w:rPr>
              <w:t>)</w:t>
            </w:r>
          </w:p>
        </w:tc>
        <w:tc>
          <w:tcPr>
            <w:tcW w:w="608" w:type="pct"/>
            <w:tcBorders>
              <w:bottom w:val="nil"/>
            </w:tcBorders>
          </w:tcPr>
          <w:p w14:paraId="54B76A20" w14:textId="3FD585BE" w:rsidR="00001875" w:rsidRPr="00F4074B" w:rsidRDefault="00001875" w:rsidP="004672DA">
            <w:pPr>
              <w:pStyle w:val="TableText"/>
              <w:jc w:val="left"/>
              <w:rPr>
                <w:color w:val="000000"/>
              </w:rPr>
            </w:pPr>
            <w:r>
              <w:rPr>
                <w:color w:val="000000"/>
                <w:lang w:val="en-GB"/>
              </w:rPr>
              <w:t>Moderately hard deionised water</w:t>
            </w:r>
          </w:p>
        </w:tc>
        <w:tc>
          <w:tcPr>
            <w:tcW w:w="304" w:type="pct"/>
            <w:tcBorders>
              <w:bottom w:val="nil"/>
            </w:tcBorders>
          </w:tcPr>
          <w:p w14:paraId="1B6F3D1F" w14:textId="6190D875" w:rsidR="00001875" w:rsidRPr="00F4074B" w:rsidRDefault="00001875" w:rsidP="004672DA">
            <w:pPr>
              <w:pStyle w:val="TableText"/>
              <w:jc w:val="left"/>
              <w:rPr>
                <w:color w:val="000000"/>
              </w:rPr>
            </w:pPr>
            <w:r w:rsidRPr="00F4074B">
              <w:rPr>
                <w:color w:val="000000"/>
                <w:lang w:val="en-GB"/>
              </w:rPr>
              <w:t>20 ± 2</w:t>
            </w:r>
          </w:p>
        </w:tc>
        <w:tc>
          <w:tcPr>
            <w:tcW w:w="305" w:type="pct"/>
            <w:tcBorders>
              <w:bottom w:val="nil"/>
            </w:tcBorders>
          </w:tcPr>
          <w:p w14:paraId="15888C88" w14:textId="50299639" w:rsidR="00001875" w:rsidRPr="00F4074B" w:rsidRDefault="00001875" w:rsidP="004672DA">
            <w:pPr>
              <w:pStyle w:val="TableText"/>
              <w:jc w:val="left"/>
              <w:rPr>
                <w:color w:val="000000"/>
              </w:rPr>
            </w:pPr>
            <w:r>
              <w:rPr>
                <w:color w:val="000000"/>
                <w:lang w:val="en-GB"/>
              </w:rPr>
              <w:t>–</w:t>
            </w:r>
          </w:p>
        </w:tc>
        <w:tc>
          <w:tcPr>
            <w:tcW w:w="510" w:type="pct"/>
          </w:tcPr>
          <w:p w14:paraId="3283EEB6" w14:textId="2E0BA3AA" w:rsidR="00001875" w:rsidRPr="00F4074B" w:rsidRDefault="00001875" w:rsidP="004672DA">
            <w:pPr>
              <w:pStyle w:val="TableText"/>
              <w:jc w:val="left"/>
              <w:rPr>
                <w:color w:val="000000"/>
              </w:rPr>
            </w:pPr>
            <w:r w:rsidRPr="00F4074B">
              <w:rPr>
                <w:color w:val="000000"/>
                <w:lang w:val="en-GB"/>
              </w:rPr>
              <w:t>0.44</w:t>
            </w:r>
          </w:p>
        </w:tc>
        <w:tc>
          <w:tcPr>
            <w:tcW w:w="591" w:type="pct"/>
          </w:tcPr>
          <w:p w14:paraId="0A698387" w14:textId="615CA88E" w:rsidR="00001875" w:rsidRPr="00F4074B" w:rsidRDefault="00001875" w:rsidP="004672DA">
            <w:pPr>
              <w:pStyle w:val="TableText"/>
              <w:jc w:val="left"/>
              <w:rPr>
                <w:color w:val="000000"/>
              </w:rPr>
            </w:pPr>
            <w:r>
              <w:rPr>
                <w:color w:val="000000"/>
                <w:lang w:val="en-GB"/>
              </w:rPr>
              <w:t>Weston and Lydy (2014)</w:t>
            </w:r>
          </w:p>
        </w:tc>
      </w:tr>
      <w:tr w:rsidR="00550386" w:rsidRPr="00A61E13" w14:paraId="25E5EAD1" w14:textId="7EE27A8B"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tcBorders>
              <w:top w:val="nil"/>
            </w:tcBorders>
            <w:shd w:val="clear" w:color="auto" w:fill="auto"/>
          </w:tcPr>
          <w:p w14:paraId="266ABDDA" w14:textId="61D2AEFD" w:rsidR="00550386" w:rsidRPr="00F4074B" w:rsidRDefault="00C52BA4" w:rsidP="004672DA">
            <w:pPr>
              <w:pStyle w:val="TableText"/>
              <w:jc w:val="left"/>
              <w:rPr>
                <w:color w:val="000000"/>
              </w:rPr>
            </w:pPr>
            <w:r>
              <w:rPr>
                <w:color w:val="000000"/>
              </w:rPr>
              <w:t>–</w:t>
            </w:r>
          </w:p>
        </w:tc>
        <w:tc>
          <w:tcPr>
            <w:tcW w:w="510" w:type="pct"/>
            <w:shd w:val="clear" w:color="auto" w:fill="auto"/>
          </w:tcPr>
          <w:p w14:paraId="68021156" w14:textId="6674F760" w:rsidR="00550386" w:rsidRPr="00F4074B" w:rsidRDefault="00550386" w:rsidP="004672DA">
            <w:pPr>
              <w:pStyle w:val="TableText"/>
              <w:jc w:val="left"/>
              <w:rPr>
                <w:color w:val="000000"/>
              </w:rPr>
            </w:pPr>
            <w:r w:rsidRPr="007259B3">
              <w:rPr>
                <w:b/>
                <w:bCs/>
                <w:color w:val="000000"/>
                <w:lang w:val="en-GB"/>
              </w:rPr>
              <w:t>0.044</w:t>
            </w:r>
            <w:r>
              <w:rPr>
                <w:color w:val="000000"/>
                <w:lang w:val="en-GB"/>
              </w:rPr>
              <w:t xml:space="preserve"> </w:t>
            </w:r>
            <w:r w:rsidRPr="00C64456">
              <w:rPr>
                <w:rStyle w:val="Strong"/>
                <w:vertAlign w:val="superscript"/>
              </w:rPr>
              <w:t>c</w:t>
            </w:r>
          </w:p>
        </w:tc>
        <w:tc>
          <w:tcPr>
            <w:tcW w:w="591" w:type="pct"/>
            <w:shd w:val="clear" w:color="auto" w:fill="auto"/>
          </w:tcPr>
          <w:p w14:paraId="325FF279" w14:textId="6B856666" w:rsidR="00550386" w:rsidRPr="007259B3" w:rsidRDefault="00550386" w:rsidP="004672DA">
            <w:pPr>
              <w:pStyle w:val="TableText"/>
              <w:jc w:val="left"/>
              <w:rPr>
                <w:b/>
                <w:bCs/>
                <w:iCs/>
                <w:color w:val="000000"/>
              </w:rPr>
            </w:pPr>
            <w:r>
              <w:rPr>
                <w:b/>
                <w:bCs/>
                <w:iCs/>
                <w:color w:val="000000"/>
                <w:lang w:val="en-GB"/>
              </w:rPr>
              <w:t>V</w:t>
            </w:r>
            <w:r w:rsidRPr="007259B3">
              <w:rPr>
                <w:b/>
                <w:bCs/>
                <w:iCs/>
                <w:color w:val="000000"/>
                <w:lang w:val="en-GB"/>
              </w:rPr>
              <w:t>alue used in SSD</w:t>
            </w:r>
          </w:p>
        </w:tc>
      </w:tr>
      <w:tr w:rsidR="00CC08AE" w:rsidRPr="00A61E13" w14:paraId="39332F4E" w14:textId="0663ACE2" w:rsidTr="00CC08AE">
        <w:trPr>
          <w:cantSplit/>
        </w:trPr>
        <w:tc>
          <w:tcPr>
            <w:tcW w:w="405" w:type="pct"/>
            <w:tcBorders>
              <w:bottom w:val="nil"/>
            </w:tcBorders>
          </w:tcPr>
          <w:p w14:paraId="1D9F4CB9" w14:textId="036C49D2" w:rsidR="00001875" w:rsidRPr="00F4074B" w:rsidRDefault="00001875" w:rsidP="004672DA">
            <w:pPr>
              <w:pStyle w:val="TableText"/>
              <w:jc w:val="left"/>
              <w:rPr>
                <w:color w:val="000000"/>
              </w:rPr>
            </w:pPr>
            <w:r>
              <w:rPr>
                <w:color w:val="000000"/>
                <w:lang w:val="en-GB"/>
              </w:rPr>
              <w:lastRenderedPageBreak/>
              <w:t>Insect</w:t>
            </w:r>
          </w:p>
        </w:tc>
        <w:tc>
          <w:tcPr>
            <w:tcW w:w="557" w:type="pct"/>
            <w:tcBorders>
              <w:bottom w:val="nil"/>
            </w:tcBorders>
          </w:tcPr>
          <w:p w14:paraId="034F162D" w14:textId="078FE3A9" w:rsidR="00001875" w:rsidRPr="00F4074B" w:rsidRDefault="00001875" w:rsidP="004672DA">
            <w:pPr>
              <w:pStyle w:val="TableText"/>
              <w:jc w:val="left"/>
              <w:rPr>
                <w:i/>
                <w:iCs/>
                <w:color w:val="000000"/>
              </w:rPr>
            </w:pPr>
            <w:r w:rsidRPr="00F4074B">
              <w:rPr>
                <w:i/>
                <w:color w:val="000000"/>
                <w:lang w:val="en-GB"/>
              </w:rPr>
              <w:t>Polypedilum nubiferum</w:t>
            </w:r>
          </w:p>
        </w:tc>
        <w:tc>
          <w:tcPr>
            <w:tcW w:w="455" w:type="pct"/>
            <w:tcBorders>
              <w:bottom w:val="nil"/>
            </w:tcBorders>
          </w:tcPr>
          <w:p w14:paraId="0C126779" w14:textId="3425289B" w:rsidR="00001875" w:rsidRPr="00F4074B" w:rsidRDefault="00001875" w:rsidP="004672DA">
            <w:pPr>
              <w:pStyle w:val="TableText"/>
              <w:jc w:val="left"/>
              <w:rPr>
                <w:color w:val="000000"/>
              </w:rPr>
            </w:pPr>
            <w:r w:rsidRPr="00F4074B">
              <w:rPr>
                <w:color w:val="000000"/>
                <w:lang w:val="en-GB"/>
              </w:rPr>
              <w:t>Fo</w:t>
            </w:r>
            <w:r>
              <w:rPr>
                <w:color w:val="000000"/>
                <w:lang w:val="en-GB"/>
              </w:rPr>
              <w:t>u</w:t>
            </w:r>
            <w:r w:rsidRPr="00F4074B">
              <w:rPr>
                <w:color w:val="000000"/>
                <w:lang w:val="en-GB"/>
              </w:rPr>
              <w:t>rth instar larva (unfed)</w:t>
            </w:r>
          </w:p>
        </w:tc>
        <w:tc>
          <w:tcPr>
            <w:tcW w:w="354" w:type="pct"/>
            <w:tcBorders>
              <w:bottom w:val="nil"/>
            </w:tcBorders>
          </w:tcPr>
          <w:p w14:paraId="391841BF" w14:textId="0A21A7DD" w:rsidR="00001875" w:rsidRPr="00F4074B" w:rsidRDefault="00001875" w:rsidP="004672DA">
            <w:pPr>
              <w:pStyle w:val="TableText"/>
              <w:jc w:val="left"/>
              <w:rPr>
                <w:color w:val="000000"/>
              </w:rPr>
            </w:pPr>
            <w:r w:rsidRPr="00F4074B">
              <w:rPr>
                <w:color w:val="000000"/>
                <w:lang w:val="en-GB"/>
              </w:rPr>
              <w:t>2</w:t>
            </w:r>
          </w:p>
        </w:tc>
        <w:tc>
          <w:tcPr>
            <w:tcW w:w="355" w:type="pct"/>
            <w:tcBorders>
              <w:bottom w:val="nil"/>
            </w:tcBorders>
          </w:tcPr>
          <w:p w14:paraId="729F18B9" w14:textId="59F2D237" w:rsidR="00001875" w:rsidRPr="00F4074B" w:rsidRDefault="00001875" w:rsidP="004672DA">
            <w:pPr>
              <w:pStyle w:val="TableText"/>
              <w:jc w:val="left"/>
              <w:rPr>
                <w:color w:val="000000"/>
              </w:rPr>
            </w:pPr>
            <w:r w:rsidRPr="00F4074B">
              <w:rPr>
                <w:color w:val="000000"/>
                <w:lang w:val="en-GB"/>
              </w:rPr>
              <w:t>Acute</w:t>
            </w:r>
          </w:p>
        </w:tc>
        <w:tc>
          <w:tcPr>
            <w:tcW w:w="556" w:type="pct"/>
            <w:tcBorders>
              <w:bottom w:val="nil"/>
            </w:tcBorders>
          </w:tcPr>
          <w:p w14:paraId="39CAB371" w14:textId="77777777" w:rsidR="00001875" w:rsidRDefault="00001875" w:rsidP="004672DA">
            <w:pPr>
              <w:pStyle w:val="TableText"/>
              <w:jc w:val="left"/>
              <w:rPr>
                <w:color w:val="000000"/>
                <w:lang w:val="en-GB"/>
              </w:rPr>
            </w:pPr>
            <w:r w:rsidRPr="00F4074B">
              <w:rPr>
                <w:color w:val="000000"/>
                <w:lang w:val="en-GB"/>
              </w:rPr>
              <w:t>LC50</w:t>
            </w:r>
          </w:p>
          <w:p w14:paraId="5C84706F" w14:textId="3052BA89" w:rsidR="00001875" w:rsidRPr="00F4074B" w:rsidRDefault="00001875" w:rsidP="004672DA">
            <w:pPr>
              <w:pStyle w:val="TableText"/>
              <w:jc w:val="left"/>
              <w:rPr>
                <w:color w:val="000000"/>
              </w:rPr>
            </w:pPr>
            <w:r w:rsidRPr="00F4074B">
              <w:rPr>
                <w:color w:val="000000"/>
                <w:lang w:val="en-GB"/>
              </w:rPr>
              <w:t>(Mortality)</w:t>
            </w:r>
          </w:p>
        </w:tc>
        <w:tc>
          <w:tcPr>
            <w:tcW w:w="608" w:type="pct"/>
            <w:tcBorders>
              <w:bottom w:val="nil"/>
            </w:tcBorders>
          </w:tcPr>
          <w:p w14:paraId="5FDA3CA5" w14:textId="1B89FEC2" w:rsidR="00001875" w:rsidRPr="00F4074B" w:rsidRDefault="00001875" w:rsidP="004672DA">
            <w:pPr>
              <w:pStyle w:val="TableText"/>
              <w:jc w:val="left"/>
              <w:rPr>
                <w:color w:val="000000"/>
              </w:rPr>
            </w:pPr>
            <w:r w:rsidRPr="00F4074B">
              <w:rPr>
                <w:color w:val="000000"/>
                <w:lang w:val="en-GB"/>
              </w:rPr>
              <w:t>Martins rearing solution</w:t>
            </w:r>
            <w:r>
              <w:rPr>
                <w:color w:val="000000"/>
                <w:lang w:val="en-GB"/>
              </w:rPr>
              <w:t xml:space="preserve"> </w:t>
            </w:r>
            <w:r w:rsidRPr="00F4074B">
              <w:rPr>
                <w:color w:val="000000"/>
                <w:lang w:val="en-GB"/>
              </w:rPr>
              <w:t>/</w:t>
            </w:r>
            <w:r>
              <w:rPr>
                <w:color w:val="000000"/>
                <w:lang w:val="en-GB"/>
              </w:rPr>
              <w:t xml:space="preserve"> </w:t>
            </w:r>
            <w:r w:rsidRPr="00F4074B">
              <w:rPr>
                <w:color w:val="000000"/>
                <w:lang w:val="en-GB"/>
              </w:rPr>
              <w:t>thiamine hydrochloride</w:t>
            </w:r>
          </w:p>
        </w:tc>
        <w:tc>
          <w:tcPr>
            <w:tcW w:w="304" w:type="pct"/>
            <w:tcBorders>
              <w:bottom w:val="nil"/>
            </w:tcBorders>
          </w:tcPr>
          <w:p w14:paraId="52557C7A" w14:textId="109392DC" w:rsidR="00001875" w:rsidRPr="00F4074B" w:rsidRDefault="00001875" w:rsidP="004672DA">
            <w:pPr>
              <w:pStyle w:val="TableText"/>
              <w:jc w:val="left"/>
              <w:rPr>
                <w:color w:val="000000"/>
              </w:rPr>
            </w:pPr>
            <w:r>
              <w:rPr>
                <w:color w:val="000000"/>
                <w:lang w:val="en-GB"/>
              </w:rPr>
              <w:t>–</w:t>
            </w:r>
          </w:p>
        </w:tc>
        <w:tc>
          <w:tcPr>
            <w:tcW w:w="305" w:type="pct"/>
            <w:tcBorders>
              <w:bottom w:val="nil"/>
            </w:tcBorders>
          </w:tcPr>
          <w:p w14:paraId="34953BCC" w14:textId="0875BF84" w:rsidR="00001875" w:rsidRPr="00F4074B" w:rsidRDefault="00001875" w:rsidP="004672DA">
            <w:pPr>
              <w:pStyle w:val="TableText"/>
              <w:jc w:val="left"/>
              <w:rPr>
                <w:color w:val="000000"/>
              </w:rPr>
            </w:pPr>
            <w:r>
              <w:rPr>
                <w:color w:val="000000"/>
                <w:lang w:val="en-GB"/>
              </w:rPr>
              <w:t>–</w:t>
            </w:r>
          </w:p>
        </w:tc>
        <w:tc>
          <w:tcPr>
            <w:tcW w:w="510" w:type="pct"/>
          </w:tcPr>
          <w:p w14:paraId="5C23D507" w14:textId="4369B2CA" w:rsidR="00001875" w:rsidRPr="007259B3" w:rsidRDefault="00001875" w:rsidP="004672DA">
            <w:pPr>
              <w:pStyle w:val="TableText"/>
              <w:jc w:val="left"/>
              <w:rPr>
                <w:color w:val="000000"/>
              </w:rPr>
            </w:pPr>
            <w:r w:rsidRPr="007259B3">
              <w:rPr>
                <w:color w:val="000000"/>
                <w:lang w:val="en-GB"/>
              </w:rPr>
              <w:t>1</w:t>
            </w:r>
          </w:p>
        </w:tc>
        <w:tc>
          <w:tcPr>
            <w:tcW w:w="591" w:type="pct"/>
          </w:tcPr>
          <w:p w14:paraId="65B0582A" w14:textId="48FCDA61" w:rsidR="00001875" w:rsidRPr="00F4074B" w:rsidRDefault="00001875" w:rsidP="004672DA">
            <w:pPr>
              <w:pStyle w:val="TableText"/>
              <w:jc w:val="left"/>
              <w:rPr>
                <w:color w:val="000000"/>
              </w:rPr>
            </w:pPr>
            <w:r w:rsidRPr="00F4074B">
              <w:rPr>
                <w:color w:val="000000"/>
                <w:lang w:val="en-GB"/>
              </w:rPr>
              <w:t>Stevens et al. (2011)</w:t>
            </w:r>
          </w:p>
        </w:tc>
      </w:tr>
      <w:tr w:rsidR="00550386" w:rsidRPr="00A61E13" w14:paraId="4B24EF21" w14:textId="5AC99D94"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tcBorders>
              <w:top w:val="nil"/>
            </w:tcBorders>
            <w:shd w:val="clear" w:color="auto" w:fill="auto"/>
          </w:tcPr>
          <w:p w14:paraId="68190399" w14:textId="6F01335A" w:rsidR="00550386" w:rsidRPr="00F4074B" w:rsidRDefault="00C52BA4" w:rsidP="004672DA">
            <w:pPr>
              <w:pStyle w:val="TableText"/>
              <w:jc w:val="left"/>
              <w:rPr>
                <w:color w:val="000000"/>
              </w:rPr>
            </w:pPr>
            <w:r>
              <w:rPr>
                <w:color w:val="000000"/>
              </w:rPr>
              <w:t>–</w:t>
            </w:r>
          </w:p>
        </w:tc>
        <w:tc>
          <w:tcPr>
            <w:tcW w:w="510" w:type="pct"/>
            <w:shd w:val="clear" w:color="auto" w:fill="auto"/>
          </w:tcPr>
          <w:p w14:paraId="22ABE863" w14:textId="2840EA45" w:rsidR="00550386" w:rsidRPr="004C7043" w:rsidRDefault="00550386" w:rsidP="004672DA">
            <w:pPr>
              <w:pStyle w:val="TableText"/>
              <w:jc w:val="left"/>
              <w:rPr>
                <w:color w:val="000000"/>
              </w:rPr>
            </w:pPr>
            <w:r w:rsidRPr="009A4791">
              <w:rPr>
                <w:b/>
                <w:bCs/>
                <w:color w:val="000000"/>
                <w:lang w:val="en-GB"/>
              </w:rPr>
              <w:t>0.1</w:t>
            </w:r>
            <w:r>
              <w:rPr>
                <w:color w:val="000000"/>
                <w:lang w:val="en-GB"/>
              </w:rPr>
              <w:t xml:space="preserve"> </w:t>
            </w:r>
            <w:r w:rsidRPr="00C64456">
              <w:rPr>
                <w:rStyle w:val="Strong"/>
                <w:vertAlign w:val="superscript"/>
              </w:rPr>
              <w:t>c</w:t>
            </w:r>
          </w:p>
        </w:tc>
        <w:tc>
          <w:tcPr>
            <w:tcW w:w="591" w:type="pct"/>
            <w:shd w:val="clear" w:color="auto" w:fill="auto"/>
          </w:tcPr>
          <w:p w14:paraId="37FEF5B5" w14:textId="78EC1E06" w:rsidR="00550386" w:rsidRPr="009A4791" w:rsidRDefault="00550386" w:rsidP="00CC0A0A">
            <w:pPr>
              <w:pStyle w:val="TableText"/>
              <w:jc w:val="left"/>
              <w:rPr>
                <w:b/>
                <w:bCs/>
                <w:iCs/>
                <w:color w:val="000000"/>
              </w:rPr>
            </w:pPr>
            <w:r w:rsidRPr="009A4791">
              <w:rPr>
                <w:b/>
                <w:bCs/>
                <w:iCs/>
                <w:color w:val="000000"/>
                <w:lang w:val="en-GB"/>
              </w:rPr>
              <w:t>Value used in SSD</w:t>
            </w:r>
          </w:p>
        </w:tc>
      </w:tr>
      <w:tr w:rsidR="00CC08AE" w:rsidRPr="00A61E13" w14:paraId="197186A3" w14:textId="6AF6C250" w:rsidTr="00CC08AE">
        <w:trPr>
          <w:cantSplit/>
        </w:trPr>
        <w:tc>
          <w:tcPr>
            <w:tcW w:w="405" w:type="pct"/>
            <w:vMerge w:val="restart"/>
          </w:tcPr>
          <w:p w14:paraId="2A323CF3" w14:textId="7BB03914" w:rsidR="00001875" w:rsidRPr="00F4074B" w:rsidRDefault="00001875" w:rsidP="004672DA">
            <w:pPr>
              <w:pStyle w:val="TableText"/>
              <w:jc w:val="left"/>
              <w:rPr>
                <w:color w:val="000000"/>
              </w:rPr>
            </w:pPr>
            <w:r>
              <w:rPr>
                <w:color w:val="000000"/>
                <w:lang w:val="en-GB"/>
              </w:rPr>
              <w:t>Insect</w:t>
            </w:r>
          </w:p>
        </w:tc>
        <w:tc>
          <w:tcPr>
            <w:tcW w:w="557" w:type="pct"/>
            <w:vMerge w:val="restart"/>
          </w:tcPr>
          <w:p w14:paraId="6458F18B" w14:textId="070654FD" w:rsidR="00001875" w:rsidRPr="00F4074B" w:rsidRDefault="00001875" w:rsidP="004672DA">
            <w:pPr>
              <w:pStyle w:val="TableText"/>
              <w:jc w:val="left"/>
              <w:rPr>
                <w:iCs/>
                <w:color w:val="000000"/>
              </w:rPr>
            </w:pPr>
            <w:r w:rsidRPr="00F4074B">
              <w:rPr>
                <w:i/>
                <w:color w:val="000000"/>
                <w:lang w:val="en-GB"/>
              </w:rPr>
              <w:t xml:space="preserve">Simulium vittatum </w:t>
            </w:r>
            <w:r>
              <w:rPr>
                <w:iCs/>
                <w:color w:val="000000"/>
                <w:lang w:val="en-GB"/>
              </w:rPr>
              <w:t>(</w:t>
            </w:r>
            <w:r w:rsidRPr="00C64456">
              <w:rPr>
                <w:iCs/>
                <w:color w:val="000000"/>
                <w:lang w:val="en-GB"/>
              </w:rPr>
              <w:t>IS-7</w:t>
            </w:r>
            <w:r>
              <w:rPr>
                <w:iCs/>
                <w:color w:val="000000"/>
                <w:lang w:val="en-GB"/>
              </w:rPr>
              <w:t xml:space="preserve"> genetic type)</w:t>
            </w:r>
          </w:p>
        </w:tc>
        <w:tc>
          <w:tcPr>
            <w:tcW w:w="455" w:type="pct"/>
          </w:tcPr>
          <w:p w14:paraId="43375556" w14:textId="10A9B3CE" w:rsidR="00001875" w:rsidRPr="00F4074B" w:rsidRDefault="00001875" w:rsidP="004672DA">
            <w:pPr>
              <w:pStyle w:val="TableText"/>
              <w:jc w:val="left"/>
              <w:rPr>
                <w:color w:val="000000"/>
              </w:rPr>
            </w:pPr>
            <w:r w:rsidRPr="00F4074B">
              <w:rPr>
                <w:color w:val="000000"/>
                <w:lang w:val="en-GB"/>
              </w:rPr>
              <w:t>Fifth instar larva</w:t>
            </w:r>
          </w:p>
        </w:tc>
        <w:tc>
          <w:tcPr>
            <w:tcW w:w="354" w:type="pct"/>
          </w:tcPr>
          <w:p w14:paraId="3CD1970A" w14:textId="4F25B103" w:rsidR="00001875" w:rsidRPr="00F4074B" w:rsidRDefault="00001875" w:rsidP="004672DA">
            <w:pPr>
              <w:pStyle w:val="TableText"/>
              <w:jc w:val="left"/>
              <w:rPr>
                <w:color w:val="000000"/>
              </w:rPr>
            </w:pPr>
            <w:r w:rsidRPr="00F4074B">
              <w:rPr>
                <w:color w:val="000000"/>
                <w:lang w:val="en-GB"/>
              </w:rPr>
              <w:t>2</w:t>
            </w:r>
          </w:p>
        </w:tc>
        <w:tc>
          <w:tcPr>
            <w:tcW w:w="355" w:type="pct"/>
          </w:tcPr>
          <w:p w14:paraId="4F9C2975" w14:textId="209D853D" w:rsidR="00001875" w:rsidRPr="00F4074B" w:rsidRDefault="00001875" w:rsidP="004672DA">
            <w:pPr>
              <w:pStyle w:val="TableText"/>
              <w:jc w:val="left"/>
              <w:rPr>
                <w:color w:val="000000"/>
              </w:rPr>
            </w:pPr>
            <w:r w:rsidRPr="00F4074B">
              <w:rPr>
                <w:color w:val="000000"/>
                <w:lang w:val="en-GB"/>
              </w:rPr>
              <w:t>Acute</w:t>
            </w:r>
          </w:p>
        </w:tc>
        <w:tc>
          <w:tcPr>
            <w:tcW w:w="556" w:type="pct"/>
          </w:tcPr>
          <w:p w14:paraId="350D380D" w14:textId="77777777" w:rsidR="00001875" w:rsidRDefault="00001875" w:rsidP="004672DA">
            <w:pPr>
              <w:pStyle w:val="TableText"/>
              <w:jc w:val="left"/>
              <w:rPr>
                <w:color w:val="000000"/>
                <w:lang w:val="en-GB"/>
              </w:rPr>
            </w:pPr>
            <w:r w:rsidRPr="00F4074B">
              <w:rPr>
                <w:color w:val="000000"/>
                <w:lang w:val="en-GB"/>
              </w:rPr>
              <w:t>LC50</w:t>
            </w:r>
          </w:p>
          <w:p w14:paraId="34EF4AA4" w14:textId="572C2144" w:rsidR="00001875" w:rsidRPr="00F4074B" w:rsidRDefault="00001875" w:rsidP="004672DA">
            <w:pPr>
              <w:pStyle w:val="TableText"/>
              <w:jc w:val="left"/>
              <w:rPr>
                <w:color w:val="000000"/>
              </w:rPr>
            </w:pPr>
            <w:r w:rsidRPr="00F4074B">
              <w:rPr>
                <w:color w:val="000000"/>
                <w:lang w:val="en-GB"/>
              </w:rPr>
              <w:t>(Mortality)</w:t>
            </w:r>
          </w:p>
        </w:tc>
        <w:tc>
          <w:tcPr>
            <w:tcW w:w="608" w:type="pct"/>
          </w:tcPr>
          <w:p w14:paraId="5B0F46F3" w14:textId="0EB1690A" w:rsidR="00001875" w:rsidRPr="00F4074B" w:rsidRDefault="00001875" w:rsidP="004672DA">
            <w:pPr>
              <w:pStyle w:val="TableText"/>
              <w:jc w:val="left"/>
              <w:rPr>
                <w:color w:val="000000"/>
              </w:rPr>
            </w:pPr>
            <w:r w:rsidRPr="00F4074B">
              <w:rPr>
                <w:color w:val="000000"/>
                <w:lang w:val="en-GB"/>
              </w:rPr>
              <w:t>Moderately hard reconstituted water</w:t>
            </w:r>
          </w:p>
        </w:tc>
        <w:tc>
          <w:tcPr>
            <w:tcW w:w="304" w:type="pct"/>
          </w:tcPr>
          <w:p w14:paraId="7421BC27" w14:textId="4392C42C" w:rsidR="00001875" w:rsidRPr="00F4074B" w:rsidRDefault="00001875" w:rsidP="004672DA">
            <w:pPr>
              <w:pStyle w:val="TableText"/>
              <w:jc w:val="left"/>
              <w:rPr>
                <w:color w:val="000000"/>
              </w:rPr>
            </w:pPr>
            <w:r>
              <w:rPr>
                <w:color w:val="000000"/>
              </w:rPr>
              <w:t>–</w:t>
            </w:r>
          </w:p>
        </w:tc>
        <w:tc>
          <w:tcPr>
            <w:tcW w:w="305" w:type="pct"/>
          </w:tcPr>
          <w:p w14:paraId="4D3C293D" w14:textId="0A9F1B37" w:rsidR="00001875" w:rsidRPr="00F4074B" w:rsidRDefault="00001875" w:rsidP="004672DA">
            <w:pPr>
              <w:pStyle w:val="TableText"/>
              <w:jc w:val="left"/>
              <w:rPr>
                <w:color w:val="000000"/>
              </w:rPr>
            </w:pPr>
            <w:r>
              <w:rPr>
                <w:color w:val="000000"/>
              </w:rPr>
              <w:t>–</w:t>
            </w:r>
          </w:p>
        </w:tc>
        <w:tc>
          <w:tcPr>
            <w:tcW w:w="510" w:type="pct"/>
          </w:tcPr>
          <w:p w14:paraId="1806F9C8" w14:textId="6ABE7049" w:rsidR="00001875" w:rsidRPr="00F4074B" w:rsidRDefault="00001875" w:rsidP="004672DA">
            <w:pPr>
              <w:pStyle w:val="TableText"/>
              <w:jc w:val="left"/>
              <w:rPr>
                <w:color w:val="000000"/>
              </w:rPr>
            </w:pPr>
            <w:r w:rsidRPr="00F4074B">
              <w:rPr>
                <w:color w:val="000000"/>
                <w:lang w:val="en-GB"/>
              </w:rPr>
              <w:t>0.19</w:t>
            </w:r>
          </w:p>
        </w:tc>
        <w:tc>
          <w:tcPr>
            <w:tcW w:w="591" w:type="pct"/>
          </w:tcPr>
          <w:p w14:paraId="5EA9215B" w14:textId="651AA1A9" w:rsidR="00001875" w:rsidRPr="00F4074B" w:rsidRDefault="00001875" w:rsidP="004672DA">
            <w:pPr>
              <w:pStyle w:val="TableText"/>
              <w:jc w:val="left"/>
              <w:rPr>
                <w:color w:val="000000"/>
              </w:rPr>
            </w:pPr>
            <w:r w:rsidRPr="00F4074B">
              <w:rPr>
                <w:color w:val="000000"/>
                <w:lang w:val="en-GB"/>
              </w:rPr>
              <w:t>Overmyer et al. (2005)</w:t>
            </w:r>
          </w:p>
        </w:tc>
      </w:tr>
      <w:tr w:rsidR="00CC08AE" w:rsidRPr="00A61E13" w14:paraId="7E02B852" w14:textId="71C4D6FD"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shd w:val="clear" w:color="auto" w:fill="auto"/>
          </w:tcPr>
          <w:p w14:paraId="7BAD5EEB" w14:textId="16A53A16" w:rsidR="00001875" w:rsidRPr="00F4074B" w:rsidRDefault="00001875" w:rsidP="004672DA">
            <w:pPr>
              <w:pStyle w:val="TableText"/>
              <w:jc w:val="left"/>
              <w:rPr>
                <w:color w:val="000000"/>
              </w:rPr>
            </w:pPr>
          </w:p>
        </w:tc>
        <w:tc>
          <w:tcPr>
            <w:tcW w:w="557" w:type="pct"/>
            <w:vMerge/>
            <w:shd w:val="clear" w:color="auto" w:fill="auto"/>
          </w:tcPr>
          <w:p w14:paraId="451F4F69" w14:textId="17C3C94A" w:rsidR="00001875" w:rsidRPr="00F4074B" w:rsidRDefault="00001875" w:rsidP="004672DA">
            <w:pPr>
              <w:pStyle w:val="TableText"/>
              <w:jc w:val="left"/>
              <w:rPr>
                <w:iCs/>
                <w:color w:val="000000"/>
              </w:rPr>
            </w:pPr>
          </w:p>
        </w:tc>
        <w:tc>
          <w:tcPr>
            <w:tcW w:w="455" w:type="pct"/>
            <w:shd w:val="clear" w:color="auto" w:fill="auto"/>
          </w:tcPr>
          <w:p w14:paraId="5D365AAA" w14:textId="59638D2D" w:rsidR="00001875" w:rsidRPr="00F4074B" w:rsidRDefault="00001875" w:rsidP="004672DA">
            <w:pPr>
              <w:pStyle w:val="TableText"/>
              <w:jc w:val="left"/>
              <w:rPr>
                <w:color w:val="000000"/>
              </w:rPr>
            </w:pPr>
            <w:r w:rsidRPr="00F4074B">
              <w:rPr>
                <w:color w:val="000000"/>
                <w:lang w:val="en-GB"/>
              </w:rPr>
              <w:t>Fifth instar larva</w:t>
            </w:r>
          </w:p>
        </w:tc>
        <w:tc>
          <w:tcPr>
            <w:tcW w:w="354" w:type="pct"/>
            <w:shd w:val="clear" w:color="auto" w:fill="auto"/>
          </w:tcPr>
          <w:p w14:paraId="09411EB4" w14:textId="22EDC4B8" w:rsidR="00001875" w:rsidRPr="00F4074B" w:rsidRDefault="00001875" w:rsidP="004672DA">
            <w:pPr>
              <w:pStyle w:val="TableText"/>
              <w:jc w:val="left"/>
              <w:rPr>
                <w:color w:val="000000"/>
              </w:rPr>
            </w:pPr>
            <w:r w:rsidRPr="00F4074B">
              <w:rPr>
                <w:color w:val="000000"/>
                <w:lang w:val="en-GB"/>
              </w:rPr>
              <w:t>2</w:t>
            </w:r>
          </w:p>
        </w:tc>
        <w:tc>
          <w:tcPr>
            <w:tcW w:w="355" w:type="pct"/>
            <w:shd w:val="clear" w:color="auto" w:fill="auto"/>
          </w:tcPr>
          <w:p w14:paraId="224384EF" w14:textId="31828554" w:rsidR="00001875" w:rsidRPr="00F4074B" w:rsidRDefault="00001875" w:rsidP="004672DA">
            <w:pPr>
              <w:pStyle w:val="TableText"/>
              <w:jc w:val="left"/>
              <w:rPr>
                <w:color w:val="000000"/>
              </w:rPr>
            </w:pPr>
            <w:r w:rsidRPr="00F4074B">
              <w:rPr>
                <w:color w:val="000000"/>
                <w:lang w:val="en-GB"/>
              </w:rPr>
              <w:t>Acute</w:t>
            </w:r>
          </w:p>
        </w:tc>
        <w:tc>
          <w:tcPr>
            <w:tcW w:w="556" w:type="pct"/>
            <w:shd w:val="clear" w:color="auto" w:fill="auto"/>
          </w:tcPr>
          <w:p w14:paraId="01D15EC0" w14:textId="77777777" w:rsidR="00001875" w:rsidRDefault="00001875" w:rsidP="004672DA">
            <w:pPr>
              <w:pStyle w:val="TableText"/>
              <w:jc w:val="left"/>
              <w:rPr>
                <w:color w:val="000000"/>
                <w:lang w:val="en-GB"/>
              </w:rPr>
            </w:pPr>
            <w:r w:rsidRPr="00F4074B">
              <w:rPr>
                <w:color w:val="000000"/>
                <w:lang w:val="en-GB"/>
              </w:rPr>
              <w:t>LC50</w:t>
            </w:r>
          </w:p>
          <w:p w14:paraId="134F7861" w14:textId="582CA97D" w:rsidR="00001875" w:rsidRPr="00F4074B" w:rsidRDefault="00001875" w:rsidP="004672DA">
            <w:pPr>
              <w:pStyle w:val="TableText"/>
              <w:jc w:val="left"/>
              <w:rPr>
                <w:color w:val="000000"/>
              </w:rPr>
            </w:pPr>
            <w:r w:rsidRPr="00F4074B">
              <w:rPr>
                <w:color w:val="000000"/>
                <w:lang w:val="en-GB"/>
              </w:rPr>
              <w:t>(Mortality)</w:t>
            </w:r>
          </w:p>
        </w:tc>
        <w:tc>
          <w:tcPr>
            <w:tcW w:w="608" w:type="pct"/>
            <w:shd w:val="clear" w:color="auto" w:fill="auto"/>
          </w:tcPr>
          <w:p w14:paraId="6AC9D383" w14:textId="576699DB" w:rsidR="00001875" w:rsidRPr="00F4074B" w:rsidRDefault="00001875" w:rsidP="004672DA">
            <w:pPr>
              <w:pStyle w:val="TableText"/>
              <w:jc w:val="left"/>
              <w:rPr>
                <w:color w:val="000000"/>
              </w:rPr>
            </w:pPr>
            <w:r w:rsidRPr="00F4074B">
              <w:rPr>
                <w:color w:val="000000"/>
                <w:lang w:val="en-GB"/>
              </w:rPr>
              <w:t>Moderately hard reconstituted water</w:t>
            </w:r>
          </w:p>
        </w:tc>
        <w:tc>
          <w:tcPr>
            <w:tcW w:w="304" w:type="pct"/>
            <w:shd w:val="clear" w:color="auto" w:fill="auto"/>
          </w:tcPr>
          <w:p w14:paraId="5BC44438" w14:textId="75A88264" w:rsidR="00001875" w:rsidRPr="00F4074B" w:rsidRDefault="00001875" w:rsidP="004672DA">
            <w:pPr>
              <w:pStyle w:val="TableText"/>
              <w:jc w:val="left"/>
              <w:rPr>
                <w:color w:val="000000"/>
              </w:rPr>
            </w:pPr>
            <w:r>
              <w:rPr>
                <w:color w:val="000000"/>
              </w:rPr>
              <w:t>–</w:t>
            </w:r>
          </w:p>
        </w:tc>
        <w:tc>
          <w:tcPr>
            <w:tcW w:w="305" w:type="pct"/>
            <w:shd w:val="clear" w:color="auto" w:fill="auto"/>
          </w:tcPr>
          <w:p w14:paraId="137A0D76" w14:textId="69469BA7" w:rsidR="00001875" w:rsidRPr="00F4074B" w:rsidRDefault="00001875" w:rsidP="004672DA">
            <w:pPr>
              <w:pStyle w:val="TableText"/>
              <w:jc w:val="left"/>
              <w:rPr>
                <w:color w:val="000000"/>
              </w:rPr>
            </w:pPr>
            <w:r>
              <w:rPr>
                <w:color w:val="000000"/>
              </w:rPr>
              <w:t>–</w:t>
            </w:r>
          </w:p>
        </w:tc>
        <w:tc>
          <w:tcPr>
            <w:tcW w:w="510" w:type="pct"/>
            <w:shd w:val="clear" w:color="auto" w:fill="auto"/>
          </w:tcPr>
          <w:p w14:paraId="4C6317AC" w14:textId="65F034E7" w:rsidR="00001875" w:rsidRPr="00F4074B" w:rsidRDefault="00001875" w:rsidP="004672DA">
            <w:pPr>
              <w:pStyle w:val="TableText"/>
              <w:jc w:val="left"/>
              <w:rPr>
                <w:color w:val="000000"/>
              </w:rPr>
            </w:pPr>
            <w:r w:rsidRPr="00F4074B">
              <w:rPr>
                <w:color w:val="000000"/>
                <w:lang w:val="en-GB"/>
              </w:rPr>
              <w:t>0.19</w:t>
            </w:r>
          </w:p>
        </w:tc>
        <w:tc>
          <w:tcPr>
            <w:tcW w:w="591" w:type="pct"/>
            <w:shd w:val="clear" w:color="auto" w:fill="auto"/>
          </w:tcPr>
          <w:p w14:paraId="108FF6FB" w14:textId="47D4B803" w:rsidR="00001875" w:rsidRPr="00F4074B" w:rsidRDefault="00001875" w:rsidP="004672DA">
            <w:pPr>
              <w:pStyle w:val="TableText"/>
              <w:jc w:val="left"/>
              <w:rPr>
                <w:color w:val="000000"/>
              </w:rPr>
            </w:pPr>
            <w:r w:rsidRPr="00F4074B">
              <w:rPr>
                <w:color w:val="000000"/>
                <w:lang w:val="en-GB"/>
              </w:rPr>
              <w:t>Overmyer et al. (2005)</w:t>
            </w:r>
          </w:p>
        </w:tc>
      </w:tr>
      <w:tr w:rsidR="00CC08AE" w:rsidRPr="00A61E13" w14:paraId="7EC54A25" w14:textId="46A41AAA" w:rsidTr="00CC08AE">
        <w:trPr>
          <w:cantSplit/>
        </w:trPr>
        <w:tc>
          <w:tcPr>
            <w:tcW w:w="405" w:type="pct"/>
            <w:vMerge/>
          </w:tcPr>
          <w:p w14:paraId="1354CAA9" w14:textId="260FC113" w:rsidR="00001875" w:rsidRPr="00F4074B" w:rsidRDefault="00001875" w:rsidP="004672DA">
            <w:pPr>
              <w:pStyle w:val="TableText"/>
              <w:jc w:val="left"/>
              <w:rPr>
                <w:color w:val="000000"/>
              </w:rPr>
            </w:pPr>
          </w:p>
        </w:tc>
        <w:tc>
          <w:tcPr>
            <w:tcW w:w="557" w:type="pct"/>
            <w:vMerge/>
          </w:tcPr>
          <w:p w14:paraId="36EF66FF" w14:textId="62ABD3B7" w:rsidR="00001875" w:rsidRPr="00F4074B" w:rsidRDefault="00001875" w:rsidP="004672DA">
            <w:pPr>
              <w:pStyle w:val="TableText"/>
              <w:jc w:val="left"/>
              <w:rPr>
                <w:iCs/>
                <w:color w:val="000000"/>
              </w:rPr>
            </w:pPr>
          </w:p>
        </w:tc>
        <w:tc>
          <w:tcPr>
            <w:tcW w:w="455" w:type="pct"/>
          </w:tcPr>
          <w:p w14:paraId="194F27EB" w14:textId="5B2BCFB0" w:rsidR="00001875" w:rsidRPr="00F4074B" w:rsidRDefault="00001875" w:rsidP="004672DA">
            <w:pPr>
              <w:pStyle w:val="TableText"/>
              <w:jc w:val="left"/>
              <w:rPr>
                <w:color w:val="000000"/>
              </w:rPr>
            </w:pPr>
            <w:r w:rsidRPr="00F4074B">
              <w:rPr>
                <w:color w:val="000000"/>
                <w:lang w:val="en-GB"/>
              </w:rPr>
              <w:t>Fifth instar larva</w:t>
            </w:r>
          </w:p>
        </w:tc>
        <w:tc>
          <w:tcPr>
            <w:tcW w:w="354" w:type="pct"/>
          </w:tcPr>
          <w:p w14:paraId="0CBB2FB3" w14:textId="61714698" w:rsidR="00001875" w:rsidRPr="00F4074B" w:rsidRDefault="00001875" w:rsidP="004672DA">
            <w:pPr>
              <w:pStyle w:val="TableText"/>
              <w:jc w:val="left"/>
              <w:rPr>
                <w:color w:val="000000"/>
              </w:rPr>
            </w:pPr>
            <w:r w:rsidRPr="00F4074B">
              <w:rPr>
                <w:color w:val="000000"/>
                <w:lang w:val="en-GB"/>
              </w:rPr>
              <w:t>2</w:t>
            </w:r>
          </w:p>
        </w:tc>
        <w:tc>
          <w:tcPr>
            <w:tcW w:w="355" w:type="pct"/>
          </w:tcPr>
          <w:p w14:paraId="0421AAE4" w14:textId="4DC6574E" w:rsidR="00001875" w:rsidRPr="00F4074B" w:rsidRDefault="00001875" w:rsidP="004672DA">
            <w:pPr>
              <w:pStyle w:val="TableText"/>
              <w:jc w:val="left"/>
              <w:rPr>
                <w:color w:val="000000"/>
              </w:rPr>
            </w:pPr>
            <w:r w:rsidRPr="00F4074B">
              <w:rPr>
                <w:color w:val="000000"/>
                <w:lang w:val="en-GB"/>
              </w:rPr>
              <w:t>Acute</w:t>
            </w:r>
          </w:p>
        </w:tc>
        <w:tc>
          <w:tcPr>
            <w:tcW w:w="556" w:type="pct"/>
          </w:tcPr>
          <w:p w14:paraId="7460256F" w14:textId="77777777" w:rsidR="00001875" w:rsidRDefault="00001875" w:rsidP="004672DA">
            <w:pPr>
              <w:pStyle w:val="TableText"/>
              <w:jc w:val="left"/>
              <w:rPr>
                <w:color w:val="000000"/>
                <w:lang w:val="en-GB"/>
              </w:rPr>
            </w:pPr>
            <w:r w:rsidRPr="00F4074B">
              <w:rPr>
                <w:color w:val="000000"/>
                <w:lang w:val="en-GB"/>
              </w:rPr>
              <w:t>LC50</w:t>
            </w:r>
          </w:p>
          <w:p w14:paraId="1AA59D89" w14:textId="27890BD0" w:rsidR="00001875" w:rsidRPr="00F4074B" w:rsidRDefault="00001875" w:rsidP="004672DA">
            <w:pPr>
              <w:pStyle w:val="TableText"/>
              <w:jc w:val="left"/>
              <w:rPr>
                <w:color w:val="000000"/>
              </w:rPr>
            </w:pPr>
            <w:r w:rsidRPr="00F4074B">
              <w:rPr>
                <w:color w:val="000000"/>
                <w:lang w:val="en-GB"/>
              </w:rPr>
              <w:t>(Mortality)</w:t>
            </w:r>
          </w:p>
        </w:tc>
        <w:tc>
          <w:tcPr>
            <w:tcW w:w="608" w:type="pct"/>
          </w:tcPr>
          <w:p w14:paraId="5E9946CB" w14:textId="2BDC96B9" w:rsidR="00001875" w:rsidRPr="00F4074B" w:rsidRDefault="00001875" w:rsidP="004672DA">
            <w:pPr>
              <w:pStyle w:val="TableText"/>
              <w:jc w:val="left"/>
              <w:rPr>
                <w:color w:val="000000"/>
              </w:rPr>
            </w:pPr>
            <w:r w:rsidRPr="00F4074B">
              <w:rPr>
                <w:color w:val="000000"/>
                <w:lang w:val="en-GB"/>
              </w:rPr>
              <w:t>Moderately hard reconstituted water</w:t>
            </w:r>
          </w:p>
        </w:tc>
        <w:tc>
          <w:tcPr>
            <w:tcW w:w="304" w:type="pct"/>
          </w:tcPr>
          <w:p w14:paraId="393DB22A" w14:textId="103E397B" w:rsidR="00001875" w:rsidRPr="00F4074B" w:rsidRDefault="00001875" w:rsidP="004672DA">
            <w:pPr>
              <w:pStyle w:val="TableText"/>
              <w:jc w:val="left"/>
              <w:rPr>
                <w:color w:val="000000"/>
              </w:rPr>
            </w:pPr>
            <w:r>
              <w:rPr>
                <w:color w:val="000000"/>
              </w:rPr>
              <w:t>–</w:t>
            </w:r>
          </w:p>
        </w:tc>
        <w:tc>
          <w:tcPr>
            <w:tcW w:w="305" w:type="pct"/>
          </w:tcPr>
          <w:p w14:paraId="0EE8B5A0" w14:textId="7946EA5D" w:rsidR="00001875" w:rsidRPr="00F4074B" w:rsidRDefault="00001875" w:rsidP="004672DA">
            <w:pPr>
              <w:pStyle w:val="TableText"/>
              <w:jc w:val="left"/>
              <w:rPr>
                <w:color w:val="000000"/>
              </w:rPr>
            </w:pPr>
            <w:r>
              <w:rPr>
                <w:color w:val="000000"/>
              </w:rPr>
              <w:t>–</w:t>
            </w:r>
          </w:p>
        </w:tc>
        <w:tc>
          <w:tcPr>
            <w:tcW w:w="510" w:type="pct"/>
          </w:tcPr>
          <w:p w14:paraId="108C6FBA" w14:textId="419617F4" w:rsidR="00001875" w:rsidRPr="00F4074B" w:rsidRDefault="00001875" w:rsidP="004672DA">
            <w:pPr>
              <w:pStyle w:val="TableText"/>
              <w:jc w:val="left"/>
              <w:rPr>
                <w:color w:val="000000"/>
              </w:rPr>
            </w:pPr>
            <w:r w:rsidRPr="00F4074B">
              <w:rPr>
                <w:color w:val="000000"/>
                <w:lang w:val="en-GB"/>
              </w:rPr>
              <w:t>0.29</w:t>
            </w:r>
          </w:p>
        </w:tc>
        <w:tc>
          <w:tcPr>
            <w:tcW w:w="591" w:type="pct"/>
          </w:tcPr>
          <w:p w14:paraId="76A6F9AD" w14:textId="2FDEF574" w:rsidR="00001875" w:rsidRPr="00F4074B" w:rsidRDefault="00001875" w:rsidP="004672DA">
            <w:pPr>
              <w:pStyle w:val="TableText"/>
              <w:jc w:val="left"/>
              <w:rPr>
                <w:color w:val="000000"/>
              </w:rPr>
            </w:pPr>
            <w:r w:rsidRPr="00F4074B">
              <w:rPr>
                <w:color w:val="000000"/>
                <w:lang w:val="en-GB"/>
              </w:rPr>
              <w:t>Overmyer et al. (2005)</w:t>
            </w:r>
          </w:p>
        </w:tc>
      </w:tr>
      <w:tr w:rsidR="00CC08AE" w:rsidRPr="00A61E13" w14:paraId="04975B57" w14:textId="177B1F29"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tcBorders>
              <w:bottom w:val="nil"/>
            </w:tcBorders>
            <w:shd w:val="clear" w:color="auto" w:fill="auto"/>
          </w:tcPr>
          <w:p w14:paraId="716846EB" w14:textId="45339E57" w:rsidR="00001875" w:rsidRPr="00F4074B" w:rsidRDefault="00001875" w:rsidP="004672DA">
            <w:pPr>
              <w:pStyle w:val="TableText"/>
              <w:jc w:val="left"/>
              <w:rPr>
                <w:color w:val="000000"/>
              </w:rPr>
            </w:pPr>
          </w:p>
        </w:tc>
        <w:tc>
          <w:tcPr>
            <w:tcW w:w="557" w:type="pct"/>
            <w:vMerge/>
            <w:tcBorders>
              <w:bottom w:val="nil"/>
            </w:tcBorders>
            <w:shd w:val="clear" w:color="auto" w:fill="auto"/>
          </w:tcPr>
          <w:p w14:paraId="48759ED4" w14:textId="3130DBCF" w:rsidR="00001875" w:rsidRPr="00F4074B" w:rsidRDefault="00001875" w:rsidP="004672DA">
            <w:pPr>
              <w:pStyle w:val="TableText"/>
              <w:jc w:val="left"/>
              <w:rPr>
                <w:iCs/>
                <w:color w:val="000000"/>
              </w:rPr>
            </w:pPr>
          </w:p>
        </w:tc>
        <w:tc>
          <w:tcPr>
            <w:tcW w:w="455" w:type="pct"/>
            <w:tcBorders>
              <w:bottom w:val="nil"/>
            </w:tcBorders>
            <w:shd w:val="clear" w:color="auto" w:fill="auto"/>
          </w:tcPr>
          <w:p w14:paraId="635B15C9" w14:textId="29FBF5C0" w:rsidR="00001875" w:rsidRPr="00F4074B" w:rsidRDefault="00001875" w:rsidP="004672DA">
            <w:pPr>
              <w:pStyle w:val="TableText"/>
              <w:jc w:val="left"/>
              <w:rPr>
                <w:color w:val="000000"/>
              </w:rPr>
            </w:pPr>
            <w:r w:rsidRPr="00F4074B">
              <w:rPr>
                <w:color w:val="000000"/>
                <w:lang w:val="en-GB"/>
              </w:rPr>
              <w:t>Fo</w:t>
            </w:r>
            <w:r>
              <w:rPr>
                <w:color w:val="000000"/>
                <w:lang w:val="en-GB"/>
              </w:rPr>
              <w:t>u</w:t>
            </w:r>
            <w:r w:rsidRPr="00F4074B">
              <w:rPr>
                <w:color w:val="000000"/>
                <w:lang w:val="en-GB"/>
              </w:rPr>
              <w:t>rth</w:t>
            </w:r>
            <w:r>
              <w:rPr>
                <w:color w:val="000000"/>
                <w:lang w:val="en-GB"/>
              </w:rPr>
              <w:t>–</w:t>
            </w:r>
            <w:r w:rsidRPr="00F4074B">
              <w:rPr>
                <w:color w:val="000000"/>
                <w:lang w:val="en-GB"/>
              </w:rPr>
              <w:t>fifth instar larva</w:t>
            </w:r>
          </w:p>
        </w:tc>
        <w:tc>
          <w:tcPr>
            <w:tcW w:w="354" w:type="pct"/>
            <w:tcBorders>
              <w:bottom w:val="nil"/>
            </w:tcBorders>
            <w:shd w:val="clear" w:color="auto" w:fill="auto"/>
          </w:tcPr>
          <w:p w14:paraId="385FBA01" w14:textId="3A0A5BE1" w:rsidR="00001875" w:rsidRPr="00F4074B" w:rsidRDefault="00001875" w:rsidP="004672DA">
            <w:pPr>
              <w:pStyle w:val="TableText"/>
              <w:jc w:val="left"/>
              <w:rPr>
                <w:color w:val="000000"/>
              </w:rPr>
            </w:pPr>
            <w:r w:rsidRPr="00F4074B">
              <w:rPr>
                <w:color w:val="000000"/>
                <w:lang w:val="en-GB"/>
              </w:rPr>
              <w:t>2</w:t>
            </w:r>
          </w:p>
        </w:tc>
        <w:tc>
          <w:tcPr>
            <w:tcW w:w="355" w:type="pct"/>
            <w:tcBorders>
              <w:bottom w:val="nil"/>
            </w:tcBorders>
            <w:shd w:val="clear" w:color="auto" w:fill="auto"/>
          </w:tcPr>
          <w:p w14:paraId="4B6F871D" w14:textId="6DF7E160" w:rsidR="00001875" w:rsidRPr="00F4074B" w:rsidRDefault="00001875" w:rsidP="004672DA">
            <w:pPr>
              <w:pStyle w:val="TableText"/>
              <w:jc w:val="left"/>
              <w:rPr>
                <w:color w:val="000000"/>
              </w:rPr>
            </w:pPr>
            <w:r w:rsidRPr="00F4074B">
              <w:rPr>
                <w:color w:val="000000"/>
                <w:lang w:val="en-GB"/>
              </w:rPr>
              <w:t>Acute</w:t>
            </w:r>
          </w:p>
        </w:tc>
        <w:tc>
          <w:tcPr>
            <w:tcW w:w="556" w:type="pct"/>
            <w:tcBorders>
              <w:bottom w:val="nil"/>
            </w:tcBorders>
            <w:shd w:val="clear" w:color="auto" w:fill="auto"/>
          </w:tcPr>
          <w:p w14:paraId="6A43F221" w14:textId="77777777" w:rsidR="00001875" w:rsidRDefault="00001875" w:rsidP="004672DA">
            <w:pPr>
              <w:pStyle w:val="TableText"/>
              <w:jc w:val="left"/>
              <w:rPr>
                <w:color w:val="000000"/>
                <w:lang w:val="en-GB"/>
              </w:rPr>
            </w:pPr>
            <w:r w:rsidRPr="00F4074B">
              <w:rPr>
                <w:color w:val="000000"/>
                <w:lang w:val="en-GB"/>
              </w:rPr>
              <w:t>LC50</w:t>
            </w:r>
          </w:p>
          <w:p w14:paraId="109F39B5" w14:textId="4BACD05A" w:rsidR="00001875" w:rsidRPr="00F4074B" w:rsidRDefault="00001875" w:rsidP="004672DA">
            <w:pPr>
              <w:pStyle w:val="TableText"/>
              <w:jc w:val="left"/>
              <w:rPr>
                <w:color w:val="000000"/>
              </w:rPr>
            </w:pPr>
            <w:r w:rsidRPr="00F4074B">
              <w:rPr>
                <w:color w:val="000000"/>
                <w:lang w:val="en-GB"/>
              </w:rPr>
              <w:t>(Mortality)</w:t>
            </w:r>
          </w:p>
        </w:tc>
        <w:tc>
          <w:tcPr>
            <w:tcW w:w="608" w:type="pct"/>
            <w:tcBorders>
              <w:bottom w:val="nil"/>
            </w:tcBorders>
            <w:shd w:val="clear" w:color="auto" w:fill="auto"/>
          </w:tcPr>
          <w:p w14:paraId="477583E2" w14:textId="36691C77" w:rsidR="00001875" w:rsidRPr="00F4074B" w:rsidRDefault="00001875" w:rsidP="004672DA">
            <w:pPr>
              <w:pStyle w:val="TableText"/>
              <w:jc w:val="left"/>
              <w:rPr>
                <w:color w:val="000000"/>
              </w:rPr>
            </w:pPr>
            <w:r w:rsidRPr="00F4074B">
              <w:rPr>
                <w:color w:val="000000"/>
                <w:lang w:val="en-GB"/>
              </w:rPr>
              <w:t>Moderately hard water</w:t>
            </w:r>
          </w:p>
        </w:tc>
        <w:tc>
          <w:tcPr>
            <w:tcW w:w="304" w:type="pct"/>
            <w:tcBorders>
              <w:bottom w:val="nil"/>
            </w:tcBorders>
            <w:shd w:val="clear" w:color="auto" w:fill="auto"/>
          </w:tcPr>
          <w:p w14:paraId="0251589C" w14:textId="304F8680" w:rsidR="00001875" w:rsidRPr="00F4074B" w:rsidRDefault="00001875" w:rsidP="004672DA">
            <w:pPr>
              <w:pStyle w:val="TableText"/>
              <w:jc w:val="left"/>
              <w:rPr>
                <w:color w:val="000000"/>
              </w:rPr>
            </w:pPr>
            <w:r>
              <w:rPr>
                <w:color w:val="000000"/>
              </w:rPr>
              <w:t>–</w:t>
            </w:r>
          </w:p>
        </w:tc>
        <w:tc>
          <w:tcPr>
            <w:tcW w:w="305" w:type="pct"/>
            <w:tcBorders>
              <w:bottom w:val="nil"/>
            </w:tcBorders>
            <w:shd w:val="clear" w:color="auto" w:fill="auto"/>
          </w:tcPr>
          <w:p w14:paraId="05C1148B" w14:textId="43E183A8" w:rsidR="00001875" w:rsidRPr="00F4074B" w:rsidRDefault="00001875" w:rsidP="004672DA">
            <w:pPr>
              <w:pStyle w:val="TableText"/>
              <w:jc w:val="left"/>
              <w:rPr>
                <w:color w:val="000000"/>
              </w:rPr>
            </w:pPr>
            <w:r>
              <w:rPr>
                <w:color w:val="000000"/>
              </w:rPr>
              <w:t>–</w:t>
            </w:r>
          </w:p>
        </w:tc>
        <w:tc>
          <w:tcPr>
            <w:tcW w:w="510" w:type="pct"/>
            <w:shd w:val="clear" w:color="auto" w:fill="auto"/>
          </w:tcPr>
          <w:p w14:paraId="5B3DD0FE" w14:textId="0EB01928" w:rsidR="00001875" w:rsidRPr="00F4074B" w:rsidRDefault="00001875" w:rsidP="004672DA">
            <w:pPr>
              <w:pStyle w:val="TableText"/>
              <w:jc w:val="left"/>
              <w:rPr>
                <w:color w:val="000000"/>
              </w:rPr>
            </w:pPr>
            <w:r w:rsidRPr="00F4074B">
              <w:rPr>
                <w:color w:val="000000"/>
                <w:lang w:val="en-GB"/>
              </w:rPr>
              <w:t>0.65</w:t>
            </w:r>
          </w:p>
        </w:tc>
        <w:tc>
          <w:tcPr>
            <w:tcW w:w="591" w:type="pct"/>
            <w:shd w:val="clear" w:color="auto" w:fill="auto"/>
          </w:tcPr>
          <w:p w14:paraId="6D878F75" w14:textId="384B3FC2" w:rsidR="00001875" w:rsidRPr="00F4074B" w:rsidRDefault="00001875" w:rsidP="004672DA">
            <w:pPr>
              <w:pStyle w:val="TableText"/>
              <w:jc w:val="left"/>
              <w:rPr>
                <w:color w:val="000000"/>
              </w:rPr>
            </w:pPr>
            <w:r w:rsidRPr="00F4074B">
              <w:rPr>
                <w:color w:val="000000"/>
                <w:lang w:val="en-GB"/>
              </w:rPr>
              <w:t>Overmyer et al. (2007)</w:t>
            </w:r>
          </w:p>
        </w:tc>
      </w:tr>
      <w:tr w:rsidR="00C756C0" w:rsidRPr="00A61E13" w14:paraId="22DCEF6C" w14:textId="625DA2DE" w:rsidTr="00CC08AE">
        <w:trPr>
          <w:cantSplit/>
        </w:trPr>
        <w:tc>
          <w:tcPr>
            <w:tcW w:w="3899" w:type="pct"/>
            <w:gridSpan w:val="9"/>
            <w:vMerge w:val="restart"/>
            <w:tcBorders>
              <w:top w:val="nil"/>
            </w:tcBorders>
          </w:tcPr>
          <w:p w14:paraId="47AA12E5" w14:textId="5B08CE2A" w:rsidR="006B0715" w:rsidRPr="00F4074B" w:rsidRDefault="00C756C0" w:rsidP="00D75E85">
            <w:pPr>
              <w:pStyle w:val="TableText"/>
              <w:jc w:val="left"/>
              <w:rPr>
                <w:color w:val="000000"/>
              </w:rPr>
            </w:pPr>
            <w:r>
              <w:rPr>
                <w:color w:val="000000"/>
              </w:rPr>
              <w:t>–</w:t>
            </w:r>
          </w:p>
        </w:tc>
        <w:tc>
          <w:tcPr>
            <w:tcW w:w="510" w:type="pct"/>
          </w:tcPr>
          <w:p w14:paraId="62A3B6E7" w14:textId="12C49444" w:rsidR="00C756C0" w:rsidRPr="009A4791" w:rsidRDefault="00C756C0" w:rsidP="004672DA">
            <w:pPr>
              <w:pStyle w:val="TableText"/>
              <w:jc w:val="left"/>
              <w:rPr>
                <w:i/>
                <w:iCs/>
                <w:color w:val="000000"/>
              </w:rPr>
            </w:pPr>
            <w:r w:rsidRPr="009A4791">
              <w:rPr>
                <w:i/>
                <w:iCs/>
                <w:color w:val="000000"/>
                <w:lang w:val="en-GB"/>
              </w:rPr>
              <w:t>0.29</w:t>
            </w:r>
          </w:p>
        </w:tc>
        <w:tc>
          <w:tcPr>
            <w:tcW w:w="591" w:type="pct"/>
          </w:tcPr>
          <w:p w14:paraId="3DACA258" w14:textId="75674499" w:rsidR="00C756C0" w:rsidRPr="009A4791" w:rsidRDefault="00C756C0" w:rsidP="004672DA">
            <w:pPr>
              <w:pStyle w:val="TableText"/>
              <w:jc w:val="left"/>
              <w:rPr>
                <w:i/>
                <w:color w:val="000000"/>
              </w:rPr>
            </w:pPr>
            <w:r w:rsidRPr="009A4791">
              <w:rPr>
                <w:i/>
                <w:color w:val="000000"/>
                <w:lang w:val="en-GB"/>
              </w:rPr>
              <w:t>Geometric mean</w:t>
            </w:r>
          </w:p>
        </w:tc>
      </w:tr>
      <w:tr w:rsidR="00C756C0" w:rsidRPr="00A61E13" w14:paraId="3078BF46" w14:textId="6C880A3E"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vMerge/>
            <w:shd w:val="clear" w:color="auto" w:fill="auto"/>
          </w:tcPr>
          <w:p w14:paraId="18AA426A" w14:textId="6466BF3B" w:rsidR="00C756C0" w:rsidRPr="00F4074B" w:rsidRDefault="00C756C0" w:rsidP="004672DA">
            <w:pPr>
              <w:pStyle w:val="TableText"/>
              <w:jc w:val="left"/>
              <w:rPr>
                <w:color w:val="000000"/>
              </w:rPr>
            </w:pPr>
          </w:p>
        </w:tc>
        <w:tc>
          <w:tcPr>
            <w:tcW w:w="510" w:type="pct"/>
            <w:shd w:val="clear" w:color="auto" w:fill="auto"/>
          </w:tcPr>
          <w:p w14:paraId="56C2A21D" w14:textId="420F8D7C" w:rsidR="00C756C0" w:rsidRPr="00F4074B" w:rsidRDefault="00C756C0" w:rsidP="004672DA">
            <w:pPr>
              <w:pStyle w:val="TableText"/>
              <w:jc w:val="left"/>
              <w:rPr>
                <w:color w:val="000000"/>
              </w:rPr>
            </w:pPr>
            <w:r w:rsidRPr="009A4791">
              <w:rPr>
                <w:b/>
                <w:bCs/>
                <w:color w:val="000000"/>
                <w:lang w:val="en-GB"/>
              </w:rPr>
              <w:t>0.029</w:t>
            </w:r>
            <w:r>
              <w:rPr>
                <w:color w:val="000000"/>
                <w:lang w:val="en-GB"/>
              </w:rPr>
              <w:t xml:space="preserve"> </w:t>
            </w:r>
            <w:r w:rsidRPr="00C64456">
              <w:rPr>
                <w:rStyle w:val="Strong"/>
                <w:vertAlign w:val="superscript"/>
              </w:rPr>
              <w:t>c</w:t>
            </w:r>
          </w:p>
        </w:tc>
        <w:tc>
          <w:tcPr>
            <w:tcW w:w="591" w:type="pct"/>
            <w:shd w:val="clear" w:color="auto" w:fill="auto"/>
          </w:tcPr>
          <w:p w14:paraId="03D228ED" w14:textId="70F6CD0F" w:rsidR="00C756C0" w:rsidRPr="009A4791" w:rsidRDefault="00C756C0" w:rsidP="004672DA">
            <w:pPr>
              <w:pStyle w:val="TableText"/>
              <w:jc w:val="left"/>
              <w:rPr>
                <w:b/>
                <w:bCs/>
                <w:iCs/>
                <w:color w:val="000000"/>
              </w:rPr>
            </w:pPr>
            <w:r w:rsidRPr="009A4791">
              <w:rPr>
                <w:b/>
                <w:bCs/>
                <w:iCs/>
                <w:color w:val="000000"/>
                <w:lang w:val="en-GB"/>
              </w:rPr>
              <w:t>Value used in SSD</w:t>
            </w:r>
          </w:p>
        </w:tc>
      </w:tr>
      <w:tr w:rsidR="00CC08AE" w:rsidRPr="00A61E13" w14:paraId="0CA904AB" w14:textId="34E154C4" w:rsidTr="00CC08AE">
        <w:trPr>
          <w:cantSplit/>
        </w:trPr>
        <w:tc>
          <w:tcPr>
            <w:tcW w:w="405" w:type="pct"/>
            <w:tcBorders>
              <w:bottom w:val="nil"/>
            </w:tcBorders>
          </w:tcPr>
          <w:p w14:paraId="635DE4EF" w14:textId="3012CCB3" w:rsidR="00001875" w:rsidRPr="00622086" w:rsidRDefault="00001875" w:rsidP="004672DA">
            <w:pPr>
              <w:pStyle w:val="TableText"/>
              <w:jc w:val="left"/>
              <w:rPr>
                <w:color w:val="000000"/>
              </w:rPr>
            </w:pPr>
            <w:r>
              <w:rPr>
                <w:color w:val="000000"/>
                <w:lang w:val="en-GB"/>
              </w:rPr>
              <w:t>Crustacean</w:t>
            </w:r>
          </w:p>
        </w:tc>
        <w:tc>
          <w:tcPr>
            <w:tcW w:w="557" w:type="pct"/>
            <w:tcBorders>
              <w:bottom w:val="nil"/>
            </w:tcBorders>
          </w:tcPr>
          <w:p w14:paraId="2424A39B" w14:textId="1C48ADBB" w:rsidR="00001875" w:rsidRPr="00941D74" w:rsidRDefault="00001875" w:rsidP="004672DA">
            <w:pPr>
              <w:pStyle w:val="TableText"/>
              <w:jc w:val="left"/>
              <w:rPr>
                <w:iCs/>
                <w:color w:val="000000"/>
                <w:highlight w:val="yellow"/>
              </w:rPr>
            </w:pPr>
            <w:r w:rsidRPr="00F523D8">
              <w:rPr>
                <w:i/>
                <w:color w:val="000000"/>
                <w:lang w:val="en-GB"/>
              </w:rPr>
              <w:t>Procambarus clarkii</w:t>
            </w:r>
          </w:p>
        </w:tc>
        <w:tc>
          <w:tcPr>
            <w:tcW w:w="455" w:type="pct"/>
            <w:tcBorders>
              <w:bottom w:val="nil"/>
            </w:tcBorders>
          </w:tcPr>
          <w:p w14:paraId="2CA531AC" w14:textId="1C2383D1" w:rsidR="00001875" w:rsidRPr="00622086" w:rsidRDefault="00001875" w:rsidP="004672DA">
            <w:pPr>
              <w:pStyle w:val="TableText"/>
              <w:jc w:val="left"/>
              <w:rPr>
                <w:color w:val="000000"/>
              </w:rPr>
            </w:pPr>
            <w:r w:rsidRPr="00622086">
              <w:rPr>
                <w:color w:val="000000"/>
                <w:lang w:val="en-GB"/>
              </w:rPr>
              <w:t>Adult</w:t>
            </w:r>
          </w:p>
        </w:tc>
        <w:tc>
          <w:tcPr>
            <w:tcW w:w="354" w:type="pct"/>
            <w:tcBorders>
              <w:bottom w:val="nil"/>
            </w:tcBorders>
          </w:tcPr>
          <w:p w14:paraId="586F6E72" w14:textId="1984B043" w:rsidR="00001875" w:rsidRPr="00622086" w:rsidRDefault="00001875" w:rsidP="004672DA">
            <w:pPr>
              <w:pStyle w:val="TableText"/>
              <w:jc w:val="left"/>
              <w:rPr>
                <w:color w:val="000000"/>
              </w:rPr>
            </w:pPr>
            <w:r w:rsidRPr="00622086">
              <w:rPr>
                <w:color w:val="000000"/>
                <w:lang w:val="en-GB"/>
              </w:rPr>
              <w:t>4</w:t>
            </w:r>
          </w:p>
        </w:tc>
        <w:tc>
          <w:tcPr>
            <w:tcW w:w="355" w:type="pct"/>
            <w:tcBorders>
              <w:bottom w:val="nil"/>
            </w:tcBorders>
          </w:tcPr>
          <w:p w14:paraId="45ECF8E2" w14:textId="1889ACFF" w:rsidR="00001875" w:rsidRPr="00622086" w:rsidRDefault="00001875" w:rsidP="004672DA">
            <w:pPr>
              <w:pStyle w:val="TableText"/>
              <w:jc w:val="left"/>
              <w:rPr>
                <w:color w:val="000000"/>
              </w:rPr>
            </w:pPr>
            <w:r w:rsidRPr="00622086">
              <w:rPr>
                <w:color w:val="000000"/>
                <w:lang w:val="en-GB"/>
              </w:rPr>
              <w:t>Acute</w:t>
            </w:r>
          </w:p>
        </w:tc>
        <w:tc>
          <w:tcPr>
            <w:tcW w:w="556" w:type="pct"/>
            <w:tcBorders>
              <w:bottom w:val="nil"/>
            </w:tcBorders>
          </w:tcPr>
          <w:p w14:paraId="4BF629B6" w14:textId="77777777" w:rsidR="00001875" w:rsidRDefault="00001875" w:rsidP="004672DA">
            <w:pPr>
              <w:pStyle w:val="TableText"/>
              <w:jc w:val="left"/>
              <w:rPr>
                <w:color w:val="000000"/>
                <w:lang w:val="en-GB"/>
              </w:rPr>
            </w:pPr>
            <w:r w:rsidRPr="00622086">
              <w:rPr>
                <w:color w:val="000000"/>
                <w:lang w:val="en-GB"/>
              </w:rPr>
              <w:t>LC50</w:t>
            </w:r>
          </w:p>
          <w:p w14:paraId="2F14DE67" w14:textId="3DAAFA2B" w:rsidR="00001875" w:rsidRPr="00622086" w:rsidRDefault="00001875" w:rsidP="004672DA">
            <w:pPr>
              <w:pStyle w:val="TableText"/>
              <w:jc w:val="left"/>
              <w:rPr>
                <w:color w:val="000000"/>
              </w:rPr>
            </w:pPr>
            <w:r w:rsidRPr="00622086">
              <w:rPr>
                <w:color w:val="000000"/>
                <w:lang w:val="en-GB"/>
              </w:rPr>
              <w:t>(Mortality)</w:t>
            </w:r>
          </w:p>
        </w:tc>
        <w:tc>
          <w:tcPr>
            <w:tcW w:w="608" w:type="pct"/>
            <w:tcBorders>
              <w:bottom w:val="nil"/>
            </w:tcBorders>
          </w:tcPr>
          <w:p w14:paraId="4EA4E943" w14:textId="2110AEB1" w:rsidR="00001875" w:rsidRPr="00622086" w:rsidRDefault="00001875" w:rsidP="004672DA">
            <w:pPr>
              <w:pStyle w:val="TableText"/>
              <w:jc w:val="left"/>
              <w:rPr>
                <w:color w:val="000000"/>
              </w:rPr>
            </w:pPr>
            <w:r w:rsidRPr="00622086">
              <w:rPr>
                <w:color w:val="000000"/>
                <w:lang w:val="en-GB"/>
              </w:rPr>
              <w:t>Deionised reconstituted water</w:t>
            </w:r>
          </w:p>
        </w:tc>
        <w:tc>
          <w:tcPr>
            <w:tcW w:w="304" w:type="pct"/>
            <w:tcBorders>
              <w:bottom w:val="nil"/>
            </w:tcBorders>
          </w:tcPr>
          <w:p w14:paraId="279592FF" w14:textId="68E9A9DF" w:rsidR="00001875" w:rsidRPr="00622086" w:rsidRDefault="00001875" w:rsidP="004672DA">
            <w:pPr>
              <w:pStyle w:val="TableText"/>
              <w:jc w:val="left"/>
              <w:rPr>
                <w:color w:val="000000"/>
              </w:rPr>
            </w:pPr>
            <w:r w:rsidRPr="00622086">
              <w:rPr>
                <w:color w:val="000000"/>
                <w:lang w:val="en-GB"/>
              </w:rPr>
              <w:t>25</w:t>
            </w:r>
          </w:p>
        </w:tc>
        <w:tc>
          <w:tcPr>
            <w:tcW w:w="305" w:type="pct"/>
            <w:tcBorders>
              <w:bottom w:val="nil"/>
            </w:tcBorders>
          </w:tcPr>
          <w:p w14:paraId="30350A71" w14:textId="6726C8CB" w:rsidR="00001875" w:rsidRPr="00622086" w:rsidRDefault="00001875" w:rsidP="004672DA">
            <w:pPr>
              <w:pStyle w:val="TableText"/>
              <w:jc w:val="left"/>
              <w:rPr>
                <w:color w:val="000000"/>
              </w:rPr>
            </w:pPr>
            <w:r w:rsidRPr="00622086">
              <w:rPr>
                <w:color w:val="000000"/>
                <w:lang w:val="en-GB"/>
              </w:rPr>
              <w:t>8.1</w:t>
            </w:r>
          </w:p>
        </w:tc>
        <w:tc>
          <w:tcPr>
            <w:tcW w:w="510" w:type="pct"/>
          </w:tcPr>
          <w:p w14:paraId="7DDE67AA" w14:textId="55F20C74" w:rsidR="00001875" w:rsidRPr="00622086" w:rsidRDefault="00001875" w:rsidP="004672DA">
            <w:pPr>
              <w:pStyle w:val="TableText"/>
              <w:jc w:val="left"/>
              <w:rPr>
                <w:color w:val="000000"/>
              </w:rPr>
            </w:pPr>
            <w:r w:rsidRPr="00622086">
              <w:rPr>
                <w:color w:val="000000"/>
                <w:lang w:val="en-GB"/>
              </w:rPr>
              <w:t>14.3</w:t>
            </w:r>
          </w:p>
        </w:tc>
        <w:tc>
          <w:tcPr>
            <w:tcW w:w="591" w:type="pct"/>
          </w:tcPr>
          <w:p w14:paraId="583BE40F" w14:textId="41D4AFE2" w:rsidR="00001875" w:rsidRPr="00622086" w:rsidRDefault="00001875" w:rsidP="004672DA">
            <w:pPr>
              <w:pStyle w:val="TableText"/>
              <w:jc w:val="left"/>
              <w:rPr>
                <w:color w:val="000000"/>
              </w:rPr>
            </w:pPr>
            <w:r w:rsidRPr="00622086">
              <w:rPr>
                <w:color w:val="000000"/>
                <w:lang w:val="en-GB"/>
              </w:rPr>
              <w:t>Schlenk et al. (2001)</w:t>
            </w:r>
          </w:p>
        </w:tc>
      </w:tr>
      <w:tr w:rsidR="00CC0A0A" w:rsidRPr="00A61E13" w14:paraId="5A24544C" w14:textId="2D6267CF"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tcBorders>
              <w:top w:val="nil"/>
            </w:tcBorders>
            <w:shd w:val="clear" w:color="auto" w:fill="auto"/>
          </w:tcPr>
          <w:p w14:paraId="4FF92342" w14:textId="519BCBDE" w:rsidR="00CC0A0A" w:rsidRPr="00622086" w:rsidRDefault="00357A6F" w:rsidP="004672DA">
            <w:pPr>
              <w:pStyle w:val="TableText"/>
              <w:jc w:val="left"/>
              <w:rPr>
                <w:color w:val="000000"/>
              </w:rPr>
            </w:pPr>
            <w:r>
              <w:rPr>
                <w:color w:val="000000"/>
              </w:rPr>
              <w:t>–</w:t>
            </w:r>
          </w:p>
        </w:tc>
        <w:tc>
          <w:tcPr>
            <w:tcW w:w="510" w:type="pct"/>
            <w:shd w:val="clear" w:color="auto" w:fill="auto"/>
          </w:tcPr>
          <w:p w14:paraId="23CA7498" w14:textId="07E4C147" w:rsidR="00CC0A0A" w:rsidRPr="00622086" w:rsidRDefault="00CC0A0A" w:rsidP="004672DA">
            <w:pPr>
              <w:pStyle w:val="TableText"/>
              <w:jc w:val="left"/>
              <w:rPr>
                <w:color w:val="000000"/>
              </w:rPr>
            </w:pPr>
            <w:r w:rsidRPr="000F213E">
              <w:rPr>
                <w:b/>
                <w:bCs/>
                <w:color w:val="000000"/>
                <w:lang w:val="en-GB"/>
              </w:rPr>
              <w:t>1.43</w:t>
            </w:r>
            <w:r>
              <w:rPr>
                <w:color w:val="000000"/>
                <w:lang w:val="en-GB"/>
              </w:rPr>
              <w:t xml:space="preserve"> </w:t>
            </w:r>
            <w:r w:rsidRPr="00C64456">
              <w:rPr>
                <w:rStyle w:val="Strong"/>
                <w:vertAlign w:val="superscript"/>
              </w:rPr>
              <w:t>c</w:t>
            </w:r>
          </w:p>
        </w:tc>
        <w:tc>
          <w:tcPr>
            <w:tcW w:w="591" w:type="pct"/>
            <w:shd w:val="clear" w:color="auto" w:fill="auto"/>
          </w:tcPr>
          <w:p w14:paraId="28E7A7FD" w14:textId="40392C2B" w:rsidR="00CC0A0A" w:rsidRPr="00E7365D" w:rsidRDefault="00CC0A0A" w:rsidP="004672DA">
            <w:pPr>
              <w:pStyle w:val="TableText"/>
              <w:jc w:val="left"/>
              <w:rPr>
                <w:b/>
                <w:bCs/>
                <w:iCs/>
                <w:color w:val="000000"/>
              </w:rPr>
            </w:pPr>
            <w:r w:rsidRPr="00E7365D">
              <w:rPr>
                <w:b/>
                <w:bCs/>
                <w:iCs/>
                <w:color w:val="000000"/>
                <w:lang w:val="en-GB"/>
              </w:rPr>
              <w:t>Value used in SSD</w:t>
            </w:r>
          </w:p>
        </w:tc>
      </w:tr>
      <w:tr w:rsidR="00CC08AE" w:rsidRPr="00A61E13" w14:paraId="5CFE6402" w14:textId="1D90DC9B" w:rsidTr="00CC08AE">
        <w:trPr>
          <w:cantSplit/>
        </w:trPr>
        <w:tc>
          <w:tcPr>
            <w:tcW w:w="405" w:type="pct"/>
            <w:tcBorders>
              <w:bottom w:val="nil"/>
            </w:tcBorders>
          </w:tcPr>
          <w:p w14:paraId="53CFB198" w14:textId="3E1207A4" w:rsidR="00001875" w:rsidRPr="00622086" w:rsidRDefault="00001875" w:rsidP="004672DA">
            <w:pPr>
              <w:pStyle w:val="TableText"/>
              <w:jc w:val="left"/>
              <w:rPr>
                <w:color w:val="000000"/>
              </w:rPr>
            </w:pPr>
            <w:r>
              <w:rPr>
                <w:color w:val="000000"/>
                <w:lang w:val="en-GB"/>
              </w:rPr>
              <w:t xml:space="preserve">Crustacean </w:t>
            </w:r>
          </w:p>
        </w:tc>
        <w:tc>
          <w:tcPr>
            <w:tcW w:w="557" w:type="pct"/>
            <w:tcBorders>
              <w:bottom w:val="nil"/>
            </w:tcBorders>
          </w:tcPr>
          <w:p w14:paraId="61DCEAC2" w14:textId="44E8A117" w:rsidR="00001875" w:rsidRPr="00622086" w:rsidRDefault="00001875" w:rsidP="004672DA">
            <w:pPr>
              <w:pStyle w:val="TableText"/>
              <w:jc w:val="left"/>
              <w:rPr>
                <w:iCs/>
                <w:color w:val="000000"/>
              </w:rPr>
            </w:pPr>
            <w:r w:rsidRPr="00622086">
              <w:rPr>
                <w:i/>
                <w:color w:val="000000"/>
                <w:lang w:val="en-GB"/>
              </w:rPr>
              <w:t>Procambarus zonangulus</w:t>
            </w:r>
          </w:p>
        </w:tc>
        <w:tc>
          <w:tcPr>
            <w:tcW w:w="455" w:type="pct"/>
            <w:tcBorders>
              <w:bottom w:val="nil"/>
            </w:tcBorders>
          </w:tcPr>
          <w:p w14:paraId="73270CCF" w14:textId="48412089" w:rsidR="00001875" w:rsidRPr="00622086" w:rsidRDefault="00001875" w:rsidP="004672DA">
            <w:pPr>
              <w:pStyle w:val="TableText"/>
              <w:jc w:val="left"/>
              <w:rPr>
                <w:color w:val="000000"/>
              </w:rPr>
            </w:pPr>
            <w:r w:rsidRPr="00622086">
              <w:rPr>
                <w:color w:val="000000"/>
                <w:lang w:val="en-GB"/>
              </w:rPr>
              <w:t>Adult</w:t>
            </w:r>
          </w:p>
        </w:tc>
        <w:tc>
          <w:tcPr>
            <w:tcW w:w="354" w:type="pct"/>
            <w:tcBorders>
              <w:bottom w:val="nil"/>
            </w:tcBorders>
          </w:tcPr>
          <w:p w14:paraId="3C235676" w14:textId="058A1013" w:rsidR="00001875" w:rsidRPr="00622086" w:rsidRDefault="00001875" w:rsidP="004672DA">
            <w:pPr>
              <w:pStyle w:val="TableText"/>
              <w:jc w:val="left"/>
              <w:rPr>
                <w:color w:val="000000"/>
              </w:rPr>
            </w:pPr>
            <w:r w:rsidRPr="00622086">
              <w:rPr>
                <w:color w:val="000000"/>
                <w:lang w:val="en-GB"/>
              </w:rPr>
              <w:t>4</w:t>
            </w:r>
          </w:p>
        </w:tc>
        <w:tc>
          <w:tcPr>
            <w:tcW w:w="355" w:type="pct"/>
            <w:tcBorders>
              <w:bottom w:val="nil"/>
            </w:tcBorders>
          </w:tcPr>
          <w:p w14:paraId="32B8D10C" w14:textId="691D429D" w:rsidR="00001875" w:rsidRPr="00622086" w:rsidRDefault="00001875" w:rsidP="004672DA">
            <w:pPr>
              <w:pStyle w:val="TableText"/>
              <w:jc w:val="left"/>
              <w:rPr>
                <w:color w:val="000000"/>
              </w:rPr>
            </w:pPr>
            <w:r w:rsidRPr="00622086">
              <w:rPr>
                <w:color w:val="000000"/>
                <w:lang w:val="en-GB"/>
              </w:rPr>
              <w:t>Acute</w:t>
            </w:r>
          </w:p>
        </w:tc>
        <w:tc>
          <w:tcPr>
            <w:tcW w:w="556" w:type="pct"/>
            <w:tcBorders>
              <w:bottom w:val="nil"/>
            </w:tcBorders>
          </w:tcPr>
          <w:p w14:paraId="77F3C1FB" w14:textId="77777777" w:rsidR="00001875" w:rsidRDefault="00001875" w:rsidP="004672DA">
            <w:pPr>
              <w:pStyle w:val="TableText"/>
              <w:jc w:val="left"/>
              <w:rPr>
                <w:color w:val="000000"/>
                <w:lang w:val="en-GB"/>
              </w:rPr>
            </w:pPr>
            <w:r w:rsidRPr="00622086">
              <w:rPr>
                <w:color w:val="000000"/>
                <w:lang w:val="en-GB"/>
              </w:rPr>
              <w:t>LC50</w:t>
            </w:r>
          </w:p>
          <w:p w14:paraId="77388D93" w14:textId="5D659F2F" w:rsidR="00001875" w:rsidRPr="00622086" w:rsidRDefault="00001875" w:rsidP="004672DA">
            <w:pPr>
              <w:pStyle w:val="TableText"/>
              <w:jc w:val="left"/>
              <w:rPr>
                <w:color w:val="000000"/>
              </w:rPr>
            </w:pPr>
            <w:r w:rsidRPr="00622086">
              <w:rPr>
                <w:color w:val="000000"/>
                <w:lang w:val="en-GB"/>
              </w:rPr>
              <w:t>(Mortality)</w:t>
            </w:r>
          </w:p>
        </w:tc>
        <w:tc>
          <w:tcPr>
            <w:tcW w:w="608" w:type="pct"/>
            <w:tcBorders>
              <w:bottom w:val="nil"/>
            </w:tcBorders>
          </w:tcPr>
          <w:p w14:paraId="4F9C46E6" w14:textId="02F80FF1" w:rsidR="00001875" w:rsidRPr="00622086" w:rsidRDefault="00001875" w:rsidP="004672DA">
            <w:pPr>
              <w:pStyle w:val="TableText"/>
              <w:jc w:val="left"/>
              <w:rPr>
                <w:color w:val="000000"/>
              </w:rPr>
            </w:pPr>
            <w:r w:rsidRPr="00622086">
              <w:rPr>
                <w:color w:val="000000"/>
                <w:lang w:val="en-GB"/>
              </w:rPr>
              <w:t>Deionised reconstituted water</w:t>
            </w:r>
          </w:p>
        </w:tc>
        <w:tc>
          <w:tcPr>
            <w:tcW w:w="304" w:type="pct"/>
            <w:tcBorders>
              <w:bottom w:val="nil"/>
            </w:tcBorders>
          </w:tcPr>
          <w:p w14:paraId="3958C131" w14:textId="300286B1" w:rsidR="00001875" w:rsidRPr="00622086" w:rsidRDefault="00001875" w:rsidP="004672DA">
            <w:pPr>
              <w:pStyle w:val="TableText"/>
              <w:jc w:val="left"/>
              <w:rPr>
                <w:color w:val="000000"/>
              </w:rPr>
            </w:pPr>
            <w:r w:rsidRPr="00622086">
              <w:rPr>
                <w:color w:val="000000"/>
                <w:lang w:val="en-GB"/>
              </w:rPr>
              <w:t>25</w:t>
            </w:r>
          </w:p>
        </w:tc>
        <w:tc>
          <w:tcPr>
            <w:tcW w:w="305" w:type="pct"/>
            <w:tcBorders>
              <w:bottom w:val="nil"/>
            </w:tcBorders>
          </w:tcPr>
          <w:p w14:paraId="1CF85443" w14:textId="6BF60D8A" w:rsidR="00001875" w:rsidRPr="00622086" w:rsidRDefault="00001875" w:rsidP="004672DA">
            <w:pPr>
              <w:pStyle w:val="TableText"/>
              <w:jc w:val="left"/>
              <w:rPr>
                <w:color w:val="000000"/>
              </w:rPr>
            </w:pPr>
            <w:r w:rsidRPr="00622086">
              <w:rPr>
                <w:color w:val="000000"/>
                <w:lang w:val="en-GB"/>
              </w:rPr>
              <w:t>8.1</w:t>
            </w:r>
          </w:p>
        </w:tc>
        <w:tc>
          <w:tcPr>
            <w:tcW w:w="510" w:type="pct"/>
          </w:tcPr>
          <w:p w14:paraId="7DC5518C" w14:textId="350205A1" w:rsidR="00001875" w:rsidRPr="00622086" w:rsidRDefault="00001875" w:rsidP="004672DA">
            <w:pPr>
              <w:pStyle w:val="TableText"/>
              <w:jc w:val="left"/>
              <w:rPr>
                <w:color w:val="000000"/>
              </w:rPr>
            </w:pPr>
            <w:r w:rsidRPr="00622086">
              <w:rPr>
                <w:color w:val="000000"/>
                <w:lang w:val="en-GB"/>
              </w:rPr>
              <w:t>19.5</w:t>
            </w:r>
          </w:p>
        </w:tc>
        <w:tc>
          <w:tcPr>
            <w:tcW w:w="591" w:type="pct"/>
          </w:tcPr>
          <w:p w14:paraId="15D66571" w14:textId="111EEC2B" w:rsidR="00001875" w:rsidRPr="00622086" w:rsidRDefault="00001875" w:rsidP="004672DA">
            <w:pPr>
              <w:pStyle w:val="TableText"/>
              <w:jc w:val="left"/>
              <w:rPr>
                <w:color w:val="000000"/>
              </w:rPr>
            </w:pPr>
            <w:r w:rsidRPr="00622086">
              <w:rPr>
                <w:color w:val="000000"/>
                <w:lang w:val="en-GB"/>
              </w:rPr>
              <w:t>Schlenk et al. (2001)</w:t>
            </w:r>
          </w:p>
        </w:tc>
      </w:tr>
      <w:tr w:rsidR="00CC0A0A" w:rsidRPr="00A61E13" w14:paraId="3001DC74" w14:textId="6A56E06C"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tcBorders>
              <w:top w:val="nil"/>
            </w:tcBorders>
            <w:shd w:val="clear" w:color="auto" w:fill="auto"/>
          </w:tcPr>
          <w:p w14:paraId="6451D3A9" w14:textId="2BD41817" w:rsidR="00CC0A0A" w:rsidRPr="00622086" w:rsidRDefault="00357A6F" w:rsidP="004672DA">
            <w:pPr>
              <w:pStyle w:val="TableText"/>
              <w:jc w:val="left"/>
              <w:rPr>
                <w:color w:val="000000"/>
              </w:rPr>
            </w:pPr>
            <w:r>
              <w:rPr>
                <w:color w:val="000000"/>
              </w:rPr>
              <w:t>–</w:t>
            </w:r>
          </w:p>
        </w:tc>
        <w:tc>
          <w:tcPr>
            <w:tcW w:w="510" w:type="pct"/>
            <w:shd w:val="clear" w:color="auto" w:fill="auto"/>
          </w:tcPr>
          <w:p w14:paraId="3231F62D" w14:textId="4E3B3ACC" w:rsidR="00CC0A0A" w:rsidRPr="000F213E" w:rsidRDefault="009A31D7" w:rsidP="004672DA">
            <w:pPr>
              <w:pStyle w:val="TableText"/>
              <w:jc w:val="left"/>
              <w:rPr>
                <w:b/>
                <w:bCs/>
                <w:color w:val="000000"/>
              </w:rPr>
            </w:pPr>
            <w:r>
              <w:rPr>
                <w:b/>
                <w:bCs/>
                <w:color w:val="000000"/>
                <w:lang w:val="en-GB"/>
              </w:rPr>
              <w:t xml:space="preserve">1.95 </w:t>
            </w:r>
            <w:r w:rsidRPr="00C64456">
              <w:rPr>
                <w:rStyle w:val="Strong"/>
                <w:vertAlign w:val="superscript"/>
              </w:rPr>
              <w:t>c</w:t>
            </w:r>
          </w:p>
        </w:tc>
        <w:tc>
          <w:tcPr>
            <w:tcW w:w="591" w:type="pct"/>
            <w:shd w:val="clear" w:color="auto" w:fill="auto"/>
          </w:tcPr>
          <w:p w14:paraId="41BDF8E2" w14:textId="73AA2429" w:rsidR="00CC0A0A" w:rsidRPr="000F213E" w:rsidRDefault="00CC0A0A" w:rsidP="004672DA">
            <w:pPr>
              <w:pStyle w:val="TableText"/>
              <w:jc w:val="left"/>
              <w:rPr>
                <w:b/>
                <w:bCs/>
                <w:color w:val="000000"/>
              </w:rPr>
            </w:pPr>
            <w:r w:rsidRPr="000F213E">
              <w:rPr>
                <w:b/>
                <w:bCs/>
                <w:color w:val="000000"/>
                <w:lang w:val="en-GB"/>
              </w:rPr>
              <w:t>Value used in SSD</w:t>
            </w:r>
          </w:p>
        </w:tc>
      </w:tr>
      <w:tr w:rsidR="00CC08AE" w:rsidRPr="00A61E13" w14:paraId="514081A4" w14:textId="31CB90CA" w:rsidTr="00CC08AE">
        <w:trPr>
          <w:cantSplit/>
        </w:trPr>
        <w:tc>
          <w:tcPr>
            <w:tcW w:w="405" w:type="pct"/>
            <w:tcBorders>
              <w:bottom w:val="nil"/>
            </w:tcBorders>
          </w:tcPr>
          <w:p w14:paraId="0D75B879" w14:textId="041E2FD5" w:rsidR="00001875" w:rsidRPr="00622086" w:rsidRDefault="00001875" w:rsidP="004672DA">
            <w:pPr>
              <w:pStyle w:val="TableText"/>
              <w:jc w:val="left"/>
              <w:rPr>
                <w:color w:val="000000"/>
              </w:rPr>
            </w:pPr>
            <w:r>
              <w:rPr>
                <w:color w:val="000000"/>
                <w:lang w:val="en-GB"/>
              </w:rPr>
              <w:t>Crustacean</w:t>
            </w:r>
          </w:p>
        </w:tc>
        <w:tc>
          <w:tcPr>
            <w:tcW w:w="557" w:type="pct"/>
            <w:tcBorders>
              <w:bottom w:val="nil"/>
            </w:tcBorders>
          </w:tcPr>
          <w:p w14:paraId="7832A989" w14:textId="101CC393" w:rsidR="00001875" w:rsidRPr="00622086" w:rsidRDefault="00001875" w:rsidP="004672DA">
            <w:pPr>
              <w:pStyle w:val="TableText"/>
              <w:jc w:val="left"/>
              <w:rPr>
                <w:iCs/>
                <w:color w:val="000000"/>
              </w:rPr>
            </w:pPr>
            <w:r w:rsidRPr="00622086">
              <w:rPr>
                <w:i/>
                <w:color w:val="000000"/>
                <w:lang w:val="en-GB"/>
              </w:rPr>
              <w:t>Acanthocyclops robustus</w:t>
            </w:r>
          </w:p>
        </w:tc>
        <w:tc>
          <w:tcPr>
            <w:tcW w:w="455" w:type="pct"/>
            <w:tcBorders>
              <w:bottom w:val="nil"/>
            </w:tcBorders>
          </w:tcPr>
          <w:p w14:paraId="4A9ED3B8" w14:textId="6B0DE86C" w:rsidR="00001875" w:rsidRPr="00622086" w:rsidRDefault="00001875" w:rsidP="004672DA">
            <w:pPr>
              <w:pStyle w:val="TableText"/>
              <w:jc w:val="left"/>
              <w:rPr>
                <w:color w:val="000000"/>
              </w:rPr>
            </w:pPr>
            <w:r>
              <w:rPr>
                <w:color w:val="000000"/>
                <w:lang w:val="en-GB"/>
              </w:rPr>
              <w:t>–</w:t>
            </w:r>
          </w:p>
        </w:tc>
        <w:tc>
          <w:tcPr>
            <w:tcW w:w="354" w:type="pct"/>
            <w:tcBorders>
              <w:bottom w:val="nil"/>
            </w:tcBorders>
          </w:tcPr>
          <w:p w14:paraId="4A2D29DC" w14:textId="5C01CCC9" w:rsidR="00001875" w:rsidRPr="00622086" w:rsidRDefault="00001875" w:rsidP="004672DA">
            <w:pPr>
              <w:pStyle w:val="TableText"/>
              <w:jc w:val="left"/>
              <w:rPr>
                <w:color w:val="000000"/>
              </w:rPr>
            </w:pPr>
            <w:r w:rsidRPr="00622086">
              <w:rPr>
                <w:color w:val="000000"/>
                <w:lang w:val="en-GB"/>
              </w:rPr>
              <w:t>2</w:t>
            </w:r>
          </w:p>
        </w:tc>
        <w:tc>
          <w:tcPr>
            <w:tcW w:w="355" w:type="pct"/>
            <w:tcBorders>
              <w:bottom w:val="nil"/>
            </w:tcBorders>
          </w:tcPr>
          <w:p w14:paraId="41ABCBF7" w14:textId="06BB8BAE" w:rsidR="00001875" w:rsidRPr="00622086" w:rsidRDefault="00001875" w:rsidP="004672DA">
            <w:pPr>
              <w:pStyle w:val="TableText"/>
              <w:jc w:val="left"/>
              <w:rPr>
                <w:color w:val="000000"/>
              </w:rPr>
            </w:pPr>
            <w:r w:rsidRPr="00622086">
              <w:rPr>
                <w:color w:val="000000"/>
                <w:lang w:val="en-GB"/>
              </w:rPr>
              <w:t>Acute</w:t>
            </w:r>
          </w:p>
        </w:tc>
        <w:tc>
          <w:tcPr>
            <w:tcW w:w="556" w:type="pct"/>
            <w:tcBorders>
              <w:bottom w:val="nil"/>
            </w:tcBorders>
          </w:tcPr>
          <w:p w14:paraId="6653D54B" w14:textId="77777777" w:rsidR="00001875" w:rsidRDefault="00001875" w:rsidP="004672DA">
            <w:pPr>
              <w:pStyle w:val="TableText"/>
              <w:jc w:val="left"/>
              <w:rPr>
                <w:color w:val="000000"/>
                <w:lang w:val="en-GB"/>
              </w:rPr>
            </w:pPr>
            <w:r w:rsidRPr="00622086">
              <w:rPr>
                <w:color w:val="000000"/>
                <w:lang w:val="en-GB"/>
              </w:rPr>
              <w:t>LC50</w:t>
            </w:r>
          </w:p>
          <w:p w14:paraId="76BCA3E9" w14:textId="392A7DEE" w:rsidR="00001875" w:rsidRPr="00622086" w:rsidRDefault="00001875" w:rsidP="004672DA">
            <w:pPr>
              <w:pStyle w:val="TableText"/>
              <w:jc w:val="left"/>
              <w:rPr>
                <w:color w:val="000000"/>
              </w:rPr>
            </w:pPr>
            <w:r w:rsidRPr="00622086">
              <w:rPr>
                <w:color w:val="000000"/>
                <w:lang w:val="en-GB"/>
              </w:rPr>
              <w:t>(Mortality)</w:t>
            </w:r>
          </w:p>
        </w:tc>
        <w:tc>
          <w:tcPr>
            <w:tcW w:w="608" w:type="pct"/>
            <w:tcBorders>
              <w:bottom w:val="nil"/>
            </w:tcBorders>
          </w:tcPr>
          <w:p w14:paraId="3DE9120A" w14:textId="0C15722B" w:rsidR="00001875" w:rsidRPr="00622086" w:rsidRDefault="00001875" w:rsidP="004672DA">
            <w:pPr>
              <w:pStyle w:val="TableText"/>
              <w:jc w:val="left"/>
              <w:rPr>
                <w:color w:val="000000"/>
              </w:rPr>
            </w:pPr>
            <w:r w:rsidRPr="00622086">
              <w:rPr>
                <w:color w:val="000000"/>
                <w:lang w:val="en-GB"/>
              </w:rPr>
              <w:t>Dechlorinated tap water</w:t>
            </w:r>
          </w:p>
        </w:tc>
        <w:tc>
          <w:tcPr>
            <w:tcW w:w="304" w:type="pct"/>
            <w:tcBorders>
              <w:bottom w:val="nil"/>
            </w:tcBorders>
          </w:tcPr>
          <w:p w14:paraId="3165CECB" w14:textId="4C7A4726" w:rsidR="00001875" w:rsidRPr="00622086" w:rsidRDefault="00001875" w:rsidP="004672DA">
            <w:pPr>
              <w:pStyle w:val="TableText"/>
              <w:jc w:val="left"/>
              <w:rPr>
                <w:color w:val="000000"/>
              </w:rPr>
            </w:pPr>
            <w:r w:rsidRPr="00622086">
              <w:rPr>
                <w:color w:val="000000"/>
                <w:lang w:val="en-GB"/>
              </w:rPr>
              <w:t>25</w:t>
            </w:r>
          </w:p>
        </w:tc>
        <w:tc>
          <w:tcPr>
            <w:tcW w:w="305" w:type="pct"/>
            <w:tcBorders>
              <w:bottom w:val="nil"/>
            </w:tcBorders>
          </w:tcPr>
          <w:p w14:paraId="29BB0E53" w14:textId="0A0858F8" w:rsidR="00001875" w:rsidRPr="00622086" w:rsidRDefault="00001875" w:rsidP="004672DA">
            <w:pPr>
              <w:pStyle w:val="TableText"/>
              <w:jc w:val="left"/>
              <w:rPr>
                <w:color w:val="000000"/>
              </w:rPr>
            </w:pPr>
            <w:r w:rsidRPr="00622086">
              <w:rPr>
                <w:color w:val="000000"/>
                <w:lang w:val="en-GB"/>
              </w:rPr>
              <w:t>7.5</w:t>
            </w:r>
          </w:p>
        </w:tc>
        <w:tc>
          <w:tcPr>
            <w:tcW w:w="510" w:type="pct"/>
          </w:tcPr>
          <w:p w14:paraId="0821520F" w14:textId="7D49E59A" w:rsidR="00001875" w:rsidRPr="00622086" w:rsidRDefault="00001875" w:rsidP="004672DA">
            <w:pPr>
              <w:pStyle w:val="TableText"/>
              <w:jc w:val="left"/>
              <w:rPr>
                <w:color w:val="000000"/>
              </w:rPr>
            </w:pPr>
            <w:r w:rsidRPr="00622086">
              <w:rPr>
                <w:color w:val="000000"/>
                <w:lang w:val="en-GB"/>
              </w:rPr>
              <w:t>84.9</w:t>
            </w:r>
          </w:p>
        </w:tc>
        <w:tc>
          <w:tcPr>
            <w:tcW w:w="591" w:type="pct"/>
          </w:tcPr>
          <w:p w14:paraId="0155BD01" w14:textId="16FA380A" w:rsidR="00001875" w:rsidRPr="00622086" w:rsidRDefault="00001875" w:rsidP="004672DA">
            <w:pPr>
              <w:pStyle w:val="TableText"/>
              <w:jc w:val="left"/>
              <w:rPr>
                <w:color w:val="000000"/>
              </w:rPr>
            </w:pPr>
            <w:r w:rsidRPr="00622086">
              <w:rPr>
                <w:color w:val="000000"/>
                <w:lang w:val="en-GB"/>
              </w:rPr>
              <w:t>Chaton et al. (2002)</w:t>
            </w:r>
          </w:p>
        </w:tc>
      </w:tr>
      <w:tr w:rsidR="00CC0A0A" w:rsidRPr="00A61E13" w14:paraId="4E72AD9E" w14:textId="18448B1C"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tcBorders>
              <w:top w:val="nil"/>
            </w:tcBorders>
            <w:shd w:val="clear" w:color="auto" w:fill="auto"/>
          </w:tcPr>
          <w:p w14:paraId="1BAF7981" w14:textId="026A6B10" w:rsidR="00D75E85" w:rsidRPr="00622086" w:rsidRDefault="00357A6F" w:rsidP="002A64AF">
            <w:pPr>
              <w:pStyle w:val="TableText"/>
              <w:jc w:val="left"/>
              <w:rPr>
                <w:color w:val="000000"/>
              </w:rPr>
            </w:pPr>
            <w:r>
              <w:rPr>
                <w:color w:val="000000"/>
              </w:rPr>
              <w:t>–</w:t>
            </w:r>
          </w:p>
        </w:tc>
        <w:tc>
          <w:tcPr>
            <w:tcW w:w="510" w:type="pct"/>
            <w:shd w:val="clear" w:color="auto" w:fill="auto"/>
          </w:tcPr>
          <w:p w14:paraId="35D51458" w14:textId="68E96633" w:rsidR="00CC0A0A" w:rsidRPr="00622086" w:rsidRDefault="00CC0A0A" w:rsidP="004672DA">
            <w:pPr>
              <w:pStyle w:val="TableText"/>
              <w:jc w:val="left"/>
              <w:rPr>
                <w:color w:val="000000"/>
              </w:rPr>
            </w:pPr>
            <w:r w:rsidRPr="000F213E">
              <w:rPr>
                <w:b/>
                <w:bCs/>
                <w:color w:val="000000"/>
                <w:lang w:val="en-GB"/>
              </w:rPr>
              <w:t>8.49</w:t>
            </w:r>
            <w:r>
              <w:rPr>
                <w:color w:val="000000"/>
                <w:lang w:val="en-GB"/>
              </w:rPr>
              <w:t xml:space="preserve"> </w:t>
            </w:r>
            <w:r w:rsidRPr="00C64456">
              <w:rPr>
                <w:rStyle w:val="Strong"/>
                <w:vertAlign w:val="superscript"/>
              </w:rPr>
              <w:t>c</w:t>
            </w:r>
          </w:p>
        </w:tc>
        <w:tc>
          <w:tcPr>
            <w:tcW w:w="591" w:type="pct"/>
            <w:shd w:val="clear" w:color="auto" w:fill="auto"/>
          </w:tcPr>
          <w:p w14:paraId="4A7A3C93" w14:textId="0F60006B" w:rsidR="00CC0A0A" w:rsidRPr="000F213E" w:rsidRDefault="00CC0A0A" w:rsidP="004672DA">
            <w:pPr>
              <w:pStyle w:val="TableText"/>
              <w:jc w:val="left"/>
              <w:rPr>
                <w:b/>
                <w:bCs/>
                <w:iCs/>
                <w:color w:val="000000"/>
              </w:rPr>
            </w:pPr>
            <w:r w:rsidRPr="000F213E">
              <w:rPr>
                <w:b/>
                <w:bCs/>
                <w:iCs/>
                <w:color w:val="000000"/>
                <w:lang w:val="en-GB"/>
              </w:rPr>
              <w:t>Value used in SSD</w:t>
            </w:r>
          </w:p>
        </w:tc>
      </w:tr>
      <w:tr w:rsidR="002A64AF" w:rsidRPr="00A61E13" w14:paraId="7B88073C" w14:textId="77777777" w:rsidTr="002A64AF">
        <w:trPr>
          <w:cantSplit/>
        </w:trPr>
        <w:tc>
          <w:tcPr>
            <w:tcW w:w="5000" w:type="pct"/>
            <w:gridSpan w:val="11"/>
          </w:tcPr>
          <w:p w14:paraId="05A08E84" w14:textId="785E9D2B" w:rsidR="002A64AF" w:rsidRDefault="002A64AF" w:rsidP="002A64AF">
            <w:pPr>
              <w:pStyle w:val="TableHeading"/>
              <w:rPr>
                <w:lang w:val="en-GB"/>
              </w:rPr>
            </w:pPr>
            <w:r>
              <w:rPr>
                <w:lang w:val="en-GB"/>
              </w:rPr>
              <w:lastRenderedPageBreak/>
              <w:t xml:space="preserve">Estuarine </w:t>
            </w:r>
          </w:p>
        </w:tc>
      </w:tr>
      <w:tr w:rsidR="00CC08AE" w:rsidRPr="00A61E13" w14:paraId="40986FA3" w14:textId="307C4266"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val="restart"/>
            <w:shd w:val="clear" w:color="auto" w:fill="auto"/>
          </w:tcPr>
          <w:p w14:paraId="066B5283" w14:textId="7701C22D" w:rsidR="00001875" w:rsidRPr="00622086" w:rsidRDefault="00001875" w:rsidP="004672DA">
            <w:pPr>
              <w:pStyle w:val="TableText"/>
              <w:jc w:val="left"/>
              <w:rPr>
                <w:color w:val="000000"/>
              </w:rPr>
            </w:pPr>
            <w:r>
              <w:rPr>
                <w:color w:val="000000"/>
                <w:lang w:val="en-GB"/>
              </w:rPr>
              <w:t>Crustacean</w:t>
            </w:r>
          </w:p>
        </w:tc>
        <w:tc>
          <w:tcPr>
            <w:tcW w:w="557" w:type="pct"/>
            <w:vMerge w:val="restart"/>
            <w:shd w:val="clear" w:color="auto" w:fill="auto"/>
          </w:tcPr>
          <w:p w14:paraId="5E491CF7" w14:textId="4C8C560F" w:rsidR="00001875" w:rsidRPr="00622086" w:rsidRDefault="00001875" w:rsidP="004672DA">
            <w:pPr>
              <w:pStyle w:val="TableText"/>
              <w:jc w:val="left"/>
              <w:rPr>
                <w:iCs/>
                <w:color w:val="000000"/>
              </w:rPr>
            </w:pPr>
            <w:r w:rsidRPr="00622086">
              <w:rPr>
                <w:i/>
                <w:color w:val="000000"/>
                <w:lang w:val="en-GB"/>
              </w:rPr>
              <w:t>Amphiascus tenuiremis</w:t>
            </w:r>
          </w:p>
        </w:tc>
        <w:tc>
          <w:tcPr>
            <w:tcW w:w="455" w:type="pct"/>
            <w:shd w:val="clear" w:color="auto" w:fill="auto"/>
          </w:tcPr>
          <w:p w14:paraId="35E92478" w14:textId="3ECE5890" w:rsidR="00001875" w:rsidRPr="00622086" w:rsidRDefault="00001875" w:rsidP="004672DA">
            <w:pPr>
              <w:pStyle w:val="TableText"/>
              <w:jc w:val="left"/>
              <w:rPr>
                <w:color w:val="000000"/>
              </w:rPr>
            </w:pPr>
            <w:r>
              <w:rPr>
                <w:color w:val="000000"/>
                <w:lang w:val="en-GB"/>
              </w:rPr>
              <w:t>Life cycle</w:t>
            </w:r>
          </w:p>
        </w:tc>
        <w:tc>
          <w:tcPr>
            <w:tcW w:w="354" w:type="pct"/>
            <w:shd w:val="clear" w:color="auto" w:fill="auto"/>
          </w:tcPr>
          <w:p w14:paraId="4C28E948" w14:textId="0D28615C" w:rsidR="00001875" w:rsidRPr="00622086" w:rsidRDefault="00001875" w:rsidP="004672DA">
            <w:pPr>
              <w:pStyle w:val="TableText"/>
              <w:jc w:val="left"/>
              <w:rPr>
                <w:color w:val="000000"/>
              </w:rPr>
            </w:pPr>
            <w:r>
              <w:rPr>
                <w:color w:val="000000"/>
                <w:lang w:val="en-GB"/>
              </w:rPr>
              <w:t>21</w:t>
            </w:r>
          </w:p>
        </w:tc>
        <w:tc>
          <w:tcPr>
            <w:tcW w:w="355" w:type="pct"/>
            <w:shd w:val="clear" w:color="auto" w:fill="auto"/>
          </w:tcPr>
          <w:p w14:paraId="588A5941" w14:textId="612BC01D" w:rsidR="00001875" w:rsidRPr="00622086" w:rsidRDefault="00001875" w:rsidP="004672DA">
            <w:pPr>
              <w:pStyle w:val="TableText"/>
              <w:jc w:val="left"/>
              <w:rPr>
                <w:color w:val="000000"/>
              </w:rPr>
            </w:pPr>
            <w:r>
              <w:rPr>
                <w:color w:val="000000"/>
                <w:lang w:val="en-GB"/>
              </w:rPr>
              <w:t>Chronic</w:t>
            </w:r>
          </w:p>
        </w:tc>
        <w:tc>
          <w:tcPr>
            <w:tcW w:w="556" w:type="pct"/>
            <w:shd w:val="clear" w:color="auto" w:fill="auto"/>
          </w:tcPr>
          <w:p w14:paraId="32B3579F" w14:textId="77777777" w:rsidR="00001875" w:rsidRDefault="00001875" w:rsidP="004672DA">
            <w:pPr>
              <w:pStyle w:val="TableText"/>
              <w:jc w:val="left"/>
              <w:rPr>
                <w:color w:val="000000"/>
                <w:lang w:val="en-GB"/>
              </w:rPr>
            </w:pPr>
            <w:r>
              <w:rPr>
                <w:color w:val="000000"/>
                <w:lang w:val="en-GB"/>
              </w:rPr>
              <w:t>NOEL</w:t>
            </w:r>
          </w:p>
          <w:p w14:paraId="4E8EF43F" w14:textId="253533D9" w:rsidR="00001875" w:rsidRPr="00622086" w:rsidRDefault="00001875" w:rsidP="004672DA">
            <w:pPr>
              <w:pStyle w:val="TableText"/>
              <w:jc w:val="left"/>
              <w:rPr>
                <w:color w:val="000000"/>
              </w:rPr>
            </w:pPr>
            <w:r>
              <w:rPr>
                <w:color w:val="000000"/>
                <w:lang w:val="en-GB"/>
              </w:rPr>
              <w:t>(Reproduction)</w:t>
            </w:r>
          </w:p>
        </w:tc>
        <w:tc>
          <w:tcPr>
            <w:tcW w:w="608" w:type="pct"/>
            <w:shd w:val="clear" w:color="auto" w:fill="auto"/>
          </w:tcPr>
          <w:p w14:paraId="5D3CE25C" w14:textId="5AD6A562" w:rsidR="00001875" w:rsidRPr="00622086" w:rsidRDefault="00001875" w:rsidP="004672DA">
            <w:pPr>
              <w:pStyle w:val="TableText"/>
              <w:jc w:val="left"/>
              <w:rPr>
                <w:color w:val="000000"/>
              </w:rPr>
            </w:pPr>
            <w:r>
              <w:rPr>
                <w:color w:val="000000"/>
                <w:lang w:val="en-GB"/>
              </w:rPr>
              <w:t>Artificial seawater</w:t>
            </w:r>
          </w:p>
        </w:tc>
        <w:tc>
          <w:tcPr>
            <w:tcW w:w="304" w:type="pct"/>
            <w:shd w:val="clear" w:color="auto" w:fill="auto"/>
          </w:tcPr>
          <w:p w14:paraId="03C4DC96" w14:textId="77938DEB" w:rsidR="00001875" w:rsidRPr="00622086" w:rsidRDefault="00001875" w:rsidP="004672DA">
            <w:pPr>
              <w:pStyle w:val="TableText"/>
              <w:jc w:val="left"/>
              <w:rPr>
                <w:color w:val="000000"/>
              </w:rPr>
            </w:pPr>
            <w:r>
              <w:rPr>
                <w:color w:val="000000"/>
                <w:lang w:val="en-GB"/>
              </w:rPr>
              <w:t>25</w:t>
            </w:r>
          </w:p>
        </w:tc>
        <w:tc>
          <w:tcPr>
            <w:tcW w:w="305" w:type="pct"/>
            <w:shd w:val="clear" w:color="auto" w:fill="auto"/>
          </w:tcPr>
          <w:p w14:paraId="324F0EF4" w14:textId="72B87118" w:rsidR="00001875" w:rsidRPr="00622086" w:rsidRDefault="00001875" w:rsidP="004672DA">
            <w:pPr>
              <w:pStyle w:val="TableText"/>
              <w:jc w:val="left"/>
              <w:rPr>
                <w:color w:val="000000"/>
              </w:rPr>
            </w:pPr>
            <w:r>
              <w:rPr>
                <w:color w:val="000000"/>
                <w:lang w:val="en-GB"/>
              </w:rPr>
              <w:t>8.3</w:t>
            </w:r>
          </w:p>
        </w:tc>
        <w:tc>
          <w:tcPr>
            <w:tcW w:w="510" w:type="pct"/>
            <w:shd w:val="clear" w:color="auto" w:fill="auto"/>
          </w:tcPr>
          <w:p w14:paraId="1DFD83C7" w14:textId="4A025768" w:rsidR="00001875" w:rsidRPr="00622086" w:rsidRDefault="00001875" w:rsidP="004672DA">
            <w:pPr>
              <w:pStyle w:val="TableText"/>
              <w:jc w:val="left"/>
              <w:rPr>
                <w:color w:val="000000"/>
              </w:rPr>
            </w:pPr>
            <w:r>
              <w:rPr>
                <w:color w:val="000000"/>
                <w:lang w:val="en-GB"/>
              </w:rPr>
              <w:t xml:space="preserve">0.16 </w:t>
            </w:r>
            <w:r w:rsidRPr="00A5708E">
              <w:rPr>
                <w:rStyle w:val="Strong"/>
                <w:vertAlign w:val="superscript"/>
              </w:rPr>
              <w:t>d</w:t>
            </w:r>
          </w:p>
        </w:tc>
        <w:tc>
          <w:tcPr>
            <w:tcW w:w="591" w:type="pct"/>
            <w:shd w:val="clear" w:color="auto" w:fill="auto"/>
          </w:tcPr>
          <w:p w14:paraId="21B53AAB" w14:textId="74611C57" w:rsidR="00001875" w:rsidRPr="00622086" w:rsidRDefault="00001875" w:rsidP="004672DA">
            <w:pPr>
              <w:pStyle w:val="TableText"/>
              <w:jc w:val="left"/>
              <w:rPr>
                <w:color w:val="000000"/>
              </w:rPr>
            </w:pPr>
            <w:r>
              <w:rPr>
                <w:color w:val="000000"/>
                <w:lang w:val="en-GB"/>
              </w:rPr>
              <w:t>Chandler et al. (2004)</w:t>
            </w:r>
          </w:p>
        </w:tc>
      </w:tr>
      <w:tr w:rsidR="00CC08AE" w:rsidRPr="00A61E13" w14:paraId="75B4B522" w14:textId="77777777" w:rsidTr="00CC08AE">
        <w:trPr>
          <w:cantSplit/>
        </w:trPr>
        <w:tc>
          <w:tcPr>
            <w:tcW w:w="405" w:type="pct"/>
            <w:vMerge/>
            <w:tcBorders>
              <w:bottom w:val="nil"/>
            </w:tcBorders>
          </w:tcPr>
          <w:p w14:paraId="360E4657" w14:textId="77777777" w:rsidR="00001875" w:rsidRPr="00622086" w:rsidRDefault="00001875" w:rsidP="004672DA">
            <w:pPr>
              <w:pStyle w:val="TableText"/>
              <w:jc w:val="left"/>
              <w:rPr>
                <w:color w:val="000000"/>
                <w:lang w:val="en-GB"/>
              </w:rPr>
            </w:pPr>
          </w:p>
        </w:tc>
        <w:tc>
          <w:tcPr>
            <w:tcW w:w="557" w:type="pct"/>
            <w:vMerge/>
            <w:tcBorders>
              <w:bottom w:val="nil"/>
            </w:tcBorders>
          </w:tcPr>
          <w:p w14:paraId="5CAD47DA" w14:textId="77777777" w:rsidR="00001875" w:rsidRPr="00622086" w:rsidRDefault="00001875" w:rsidP="004672DA">
            <w:pPr>
              <w:pStyle w:val="TableText"/>
              <w:jc w:val="left"/>
              <w:rPr>
                <w:i/>
                <w:color w:val="000000"/>
                <w:lang w:val="en-GB"/>
              </w:rPr>
            </w:pPr>
          </w:p>
        </w:tc>
        <w:tc>
          <w:tcPr>
            <w:tcW w:w="455" w:type="pct"/>
            <w:tcBorders>
              <w:bottom w:val="nil"/>
            </w:tcBorders>
          </w:tcPr>
          <w:p w14:paraId="7EAA64A3" w14:textId="731FBF12" w:rsidR="00001875" w:rsidRDefault="00001875" w:rsidP="004672DA">
            <w:pPr>
              <w:pStyle w:val="TableText"/>
              <w:jc w:val="left"/>
              <w:rPr>
                <w:color w:val="000000"/>
                <w:lang w:val="en-GB"/>
              </w:rPr>
            </w:pPr>
            <w:r>
              <w:rPr>
                <w:color w:val="000000"/>
                <w:lang w:val="en-GB"/>
              </w:rPr>
              <w:t>Nauplii Stage I</w:t>
            </w:r>
          </w:p>
        </w:tc>
        <w:tc>
          <w:tcPr>
            <w:tcW w:w="354" w:type="pct"/>
            <w:tcBorders>
              <w:bottom w:val="nil"/>
            </w:tcBorders>
          </w:tcPr>
          <w:p w14:paraId="69E3B760" w14:textId="0C16D48D" w:rsidR="00001875" w:rsidRDefault="00001875" w:rsidP="004672DA">
            <w:pPr>
              <w:pStyle w:val="TableText"/>
              <w:jc w:val="left"/>
              <w:rPr>
                <w:color w:val="000000"/>
                <w:lang w:val="en-GB"/>
              </w:rPr>
            </w:pPr>
            <w:r>
              <w:rPr>
                <w:color w:val="000000"/>
                <w:lang w:val="en-GB"/>
              </w:rPr>
              <w:t>12</w:t>
            </w:r>
          </w:p>
        </w:tc>
        <w:tc>
          <w:tcPr>
            <w:tcW w:w="355" w:type="pct"/>
            <w:tcBorders>
              <w:bottom w:val="nil"/>
            </w:tcBorders>
          </w:tcPr>
          <w:p w14:paraId="5FFEC8F2" w14:textId="62E4D267" w:rsidR="00001875" w:rsidRDefault="00001875" w:rsidP="004672DA">
            <w:pPr>
              <w:pStyle w:val="TableText"/>
              <w:jc w:val="left"/>
              <w:rPr>
                <w:color w:val="000000"/>
                <w:lang w:val="en-GB"/>
              </w:rPr>
            </w:pPr>
            <w:r>
              <w:rPr>
                <w:color w:val="000000"/>
                <w:lang w:val="en-GB"/>
              </w:rPr>
              <w:t>Chronic</w:t>
            </w:r>
          </w:p>
        </w:tc>
        <w:tc>
          <w:tcPr>
            <w:tcW w:w="556" w:type="pct"/>
            <w:tcBorders>
              <w:bottom w:val="nil"/>
            </w:tcBorders>
          </w:tcPr>
          <w:p w14:paraId="3DF9AC13" w14:textId="77777777" w:rsidR="00001875" w:rsidRDefault="00001875" w:rsidP="004672DA">
            <w:pPr>
              <w:pStyle w:val="TableText"/>
              <w:jc w:val="left"/>
              <w:rPr>
                <w:color w:val="000000"/>
                <w:lang w:val="en-GB"/>
              </w:rPr>
            </w:pPr>
            <w:r>
              <w:rPr>
                <w:color w:val="000000"/>
                <w:lang w:val="en-GB"/>
              </w:rPr>
              <w:t>NOEL</w:t>
            </w:r>
          </w:p>
          <w:p w14:paraId="4C6FDB68" w14:textId="2E4B2E71" w:rsidR="00001875" w:rsidRDefault="00001875" w:rsidP="004672DA">
            <w:pPr>
              <w:pStyle w:val="TableText"/>
              <w:jc w:val="left"/>
              <w:rPr>
                <w:color w:val="000000"/>
                <w:lang w:val="en-GB"/>
              </w:rPr>
            </w:pPr>
            <w:r>
              <w:rPr>
                <w:color w:val="000000"/>
                <w:lang w:val="en-GB"/>
              </w:rPr>
              <w:t>(Development)</w:t>
            </w:r>
          </w:p>
        </w:tc>
        <w:tc>
          <w:tcPr>
            <w:tcW w:w="608" w:type="pct"/>
            <w:tcBorders>
              <w:bottom w:val="nil"/>
            </w:tcBorders>
          </w:tcPr>
          <w:p w14:paraId="7A410968" w14:textId="6CF11999" w:rsidR="00001875" w:rsidRDefault="00001875" w:rsidP="004672DA">
            <w:pPr>
              <w:pStyle w:val="TableText"/>
              <w:jc w:val="left"/>
              <w:rPr>
                <w:color w:val="000000"/>
                <w:lang w:val="en-GB"/>
              </w:rPr>
            </w:pPr>
            <w:r>
              <w:rPr>
                <w:color w:val="000000"/>
                <w:lang w:val="en-GB"/>
              </w:rPr>
              <w:t>Artificial seawater</w:t>
            </w:r>
          </w:p>
        </w:tc>
        <w:tc>
          <w:tcPr>
            <w:tcW w:w="304" w:type="pct"/>
            <w:tcBorders>
              <w:bottom w:val="nil"/>
            </w:tcBorders>
          </w:tcPr>
          <w:p w14:paraId="2C12D8D0" w14:textId="786FFE23" w:rsidR="00001875" w:rsidRDefault="00001875" w:rsidP="004672DA">
            <w:pPr>
              <w:pStyle w:val="TableText"/>
              <w:jc w:val="left"/>
              <w:rPr>
                <w:color w:val="000000"/>
                <w:lang w:val="en-GB"/>
              </w:rPr>
            </w:pPr>
            <w:r>
              <w:rPr>
                <w:color w:val="000000"/>
                <w:lang w:val="en-GB"/>
              </w:rPr>
              <w:t>25</w:t>
            </w:r>
          </w:p>
        </w:tc>
        <w:tc>
          <w:tcPr>
            <w:tcW w:w="305" w:type="pct"/>
            <w:tcBorders>
              <w:bottom w:val="nil"/>
            </w:tcBorders>
          </w:tcPr>
          <w:p w14:paraId="6A146B1E" w14:textId="7B7572C8" w:rsidR="00001875" w:rsidRDefault="00001875" w:rsidP="004672DA">
            <w:pPr>
              <w:pStyle w:val="TableText"/>
              <w:jc w:val="left"/>
              <w:rPr>
                <w:color w:val="000000"/>
                <w:lang w:val="en-GB"/>
              </w:rPr>
            </w:pPr>
            <w:r>
              <w:rPr>
                <w:color w:val="000000"/>
                <w:lang w:val="en-GB"/>
              </w:rPr>
              <w:t>8.3</w:t>
            </w:r>
          </w:p>
        </w:tc>
        <w:tc>
          <w:tcPr>
            <w:tcW w:w="510" w:type="pct"/>
          </w:tcPr>
          <w:p w14:paraId="2C5E49A6" w14:textId="63C15C6A" w:rsidR="00001875" w:rsidRPr="00C756C0" w:rsidRDefault="00001875" w:rsidP="004672DA">
            <w:pPr>
              <w:pStyle w:val="TableText"/>
              <w:jc w:val="left"/>
              <w:rPr>
                <w:color w:val="000000"/>
                <w:lang w:val="en-GB"/>
              </w:rPr>
            </w:pPr>
            <w:r w:rsidRPr="00C756C0">
              <w:rPr>
                <w:color w:val="000000"/>
                <w:lang w:val="en-GB"/>
              </w:rPr>
              <w:t>0.16</w:t>
            </w:r>
          </w:p>
        </w:tc>
        <w:tc>
          <w:tcPr>
            <w:tcW w:w="591" w:type="pct"/>
          </w:tcPr>
          <w:p w14:paraId="383C206D" w14:textId="0C032ECB" w:rsidR="00001875" w:rsidRPr="009324F0" w:rsidRDefault="00001875" w:rsidP="004672DA">
            <w:pPr>
              <w:pStyle w:val="TableText"/>
              <w:jc w:val="left"/>
              <w:rPr>
                <w:i/>
                <w:color w:val="000000"/>
                <w:lang w:val="en-GB"/>
              </w:rPr>
            </w:pPr>
            <w:r>
              <w:rPr>
                <w:color w:val="000000"/>
                <w:lang w:val="en-GB"/>
              </w:rPr>
              <w:t>Chandler et al. (2004)</w:t>
            </w:r>
          </w:p>
        </w:tc>
      </w:tr>
      <w:tr w:rsidR="00CC0A0A" w:rsidRPr="00A61E13" w14:paraId="7374D355"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tcBorders>
              <w:top w:val="nil"/>
              <w:left w:val="none" w:sz="0" w:space="0" w:color="auto"/>
              <w:bottom w:val="single" w:sz="4" w:space="0" w:color="auto"/>
              <w:right w:val="none" w:sz="0" w:space="0" w:color="auto"/>
            </w:tcBorders>
            <w:shd w:val="clear" w:color="auto" w:fill="auto"/>
          </w:tcPr>
          <w:p w14:paraId="09452E7B" w14:textId="1107F191" w:rsidR="00CC0A0A" w:rsidRDefault="00357A6F" w:rsidP="004672DA">
            <w:pPr>
              <w:pStyle w:val="TableText"/>
              <w:jc w:val="left"/>
              <w:rPr>
                <w:color w:val="000000"/>
                <w:lang w:val="en-GB"/>
              </w:rPr>
            </w:pPr>
            <w:r>
              <w:rPr>
                <w:color w:val="000000"/>
                <w:lang w:val="en-GB"/>
              </w:rPr>
              <w:t>–</w:t>
            </w:r>
          </w:p>
        </w:tc>
        <w:tc>
          <w:tcPr>
            <w:tcW w:w="510" w:type="pct"/>
            <w:tcBorders>
              <w:left w:val="none" w:sz="0" w:space="0" w:color="auto"/>
              <w:bottom w:val="single" w:sz="4" w:space="0" w:color="auto"/>
              <w:right w:val="none" w:sz="0" w:space="0" w:color="auto"/>
            </w:tcBorders>
            <w:shd w:val="clear" w:color="auto" w:fill="auto"/>
          </w:tcPr>
          <w:p w14:paraId="3E14E3A0" w14:textId="20F24172" w:rsidR="00CC0A0A" w:rsidRPr="000F213E" w:rsidRDefault="00CC0A0A" w:rsidP="004672DA">
            <w:pPr>
              <w:pStyle w:val="TableText"/>
              <w:jc w:val="left"/>
              <w:rPr>
                <w:b/>
                <w:bCs/>
                <w:color w:val="000000"/>
                <w:lang w:val="en-GB"/>
              </w:rPr>
            </w:pPr>
            <w:r w:rsidRPr="000F213E">
              <w:rPr>
                <w:b/>
                <w:bCs/>
                <w:color w:val="000000"/>
                <w:lang w:val="en-GB"/>
              </w:rPr>
              <w:t>0.16</w:t>
            </w:r>
          </w:p>
        </w:tc>
        <w:tc>
          <w:tcPr>
            <w:tcW w:w="591" w:type="pct"/>
            <w:tcBorders>
              <w:left w:val="none" w:sz="0" w:space="0" w:color="auto"/>
              <w:bottom w:val="single" w:sz="4" w:space="0" w:color="auto"/>
              <w:right w:val="none" w:sz="0" w:space="0" w:color="auto"/>
            </w:tcBorders>
            <w:shd w:val="clear" w:color="auto" w:fill="auto"/>
          </w:tcPr>
          <w:p w14:paraId="426D3AC8" w14:textId="53691EAB" w:rsidR="00CC0A0A" w:rsidRPr="000F213E" w:rsidRDefault="00CC0A0A" w:rsidP="004672DA">
            <w:pPr>
              <w:pStyle w:val="TableText"/>
              <w:jc w:val="left"/>
              <w:rPr>
                <w:b/>
                <w:bCs/>
                <w:color w:val="000000"/>
                <w:lang w:val="en-GB"/>
              </w:rPr>
            </w:pPr>
            <w:r w:rsidRPr="000F213E">
              <w:rPr>
                <w:b/>
                <w:bCs/>
                <w:color w:val="000000"/>
                <w:lang w:val="en-GB"/>
              </w:rPr>
              <w:t>Value used in SSD</w:t>
            </w:r>
          </w:p>
        </w:tc>
      </w:tr>
      <w:tr w:rsidR="00CC08AE" w:rsidRPr="00A61E13" w14:paraId="548F5237" w14:textId="77777777" w:rsidTr="00CC08AE">
        <w:trPr>
          <w:cantSplit/>
        </w:trPr>
        <w:tc>
          <w:tcPr>
            <w:tcW w:w="405" w:type="pct"/>
            <w:tcBorders>
              <w:top w:val="single" w:sz="4" w:space="0" w:color="auto"/>
              <w:bottom w:val="nil"/>
            </w:tcBorders>
          </w:tcPr>
          <w:p w14:paraId="70BC5702" w14:textId="4984727D" w:rsidR="00001875" w:rsidRPr="00622086" w:rsidRDefault="00001875" w:rsidP="004665FC">
            <w:pPr>
              <w:pStyle w:val="TableText"/>
              <w:jc w:val="left"/>
              <w:rPr>
                <w:color w:val="000000"/>
              </w:rPr>
            </w:pPr>
            <w:r>
              <w:rPr>
                <w:color w:val="000000"/>
                <w:lang w:val="en-GB"/>
              </w:rPr>
              <w:t>Crustacean</w:t>
            </w:r>
          </w:p>
        </w:tc>
        <w:tc>
          <w:tcPr>
            <w:tcW w:w="557" w:type="pct"/>
            <w:tcBorders>
              <w:top w:val="single" w:sz="4" w:space="0" w:color="auto"/>
              <w:bottom w:val="nil"/>
            </w:tcBorders>
          </w:tcPr>
          <w:p w14:paraId="0462EDED" w14:textId="77777777" w:rsidR="00001875" w:rsidRPr="00622086" w:rsidRDefault="00001875" w:rsidP="004665FC">
            <w:pPr>
              <w:pStyle w:val="TableText"/>
              <w:jc w:val="left"/>
              <w:rPr>
                <w:iCs/>
                <w:color w:val="000000"/>
              </w:rPr>
            </w:pPr>
            <w:r w:rsidRPr="00622086">
              <w:rPr>
                <w:i/>
                <w:color w:val="000000"/>
                <w:lang w:val="en-GB"/>
              </w:rPr>
              <w:t>Palaemonetes pugio</w:t>
            </w:r>
          </w:p>
        </w:tc>
        <w:tc>
          <w:tcPr>
            <w:tcW w:w="455" w:type="pct"/>
            <w:tcBorders>
              <w:top w:val="single" w:sz="4" w:space="0" w:color="auto"/>
              <w:bottom w:val="nil"/>
            </w:tcBorders>
          </w:tcPr>
          <w:p w14:paraId="624E5CDC" w14:textId="77777777" w:rsidR="00001875" w:rsidRPr="00622086" w:rsidRDefault="00001875" w:rsidP="004665FC">
            <w:pPr>
              <w:pStyle w:val="TableText"/>
              <w:jc w:val="left"/>
              <w:rPr>
                <w:color w:val="000000"/>
              </w:rPr>
            </w:pPr>
            <w:r w:rsidRPr="00622086">
              <w:rPr>
                <w:color w:val="000000"/>
                <w:lang w:val="en-GB"/>
              </w:rPr>
              <w:t>Adult</w:t>
            </w:r>
          </w:p>
        </w:tc>
        <w:tc>
          <w:tcPr>
            <w:tcW w:w="354" w:type="pct"/>
            <w:tcBorders>
              <w:top w:val="single" w:sz="4" w:space="0" w:color="auto"/>
              <w:bottom w:val="nil"/>
            </w:tcBorders>
          </w:tcPr>
          <w:p w14:paraId="734D53DD" w14:textId="77777777" w:rsidR="00001875" w:rsidRPr="00622086" w:rsidRDefault="00001875" w:rsidP="004665FC">
            <w:pPr>
              <w:pStyle w:val="TableText"/>
              <w:jc w:val="left"/>
              <w:rPr>
                <w:color w:val="000000"/>
              </w:rPr>
            </w:pPr>
            <w:r w:rsidRPr="00622086">
              <w:rPr>
                <w:color w:val="000000"/>
                <w:lang w:val="en-GB"/>
              </w:rPr>
              <w:t>45</w:t>
            </w:r>
          </w:p>
        </w:tc>
        <w:tc>
          <w:tcPr>
            <w:tcW w:w="355" w:type="pct"/>
            <w:tcBorders>
              <w:top w:val="single" w:sz="4" w:space="0" w:color="auto"/>
              <w:bottom w:val="nil"/>
            </w:tcBorders>
          </w:tcPr>
          <w:p w14:paraId="78972D5C" w14:textId="77777777" w:rsidR="00001875" w:rsidRPr="00622086" w:rsidRDefault="00001875" w:rsidP="004665FC">
            <w:pPr>
              <w:pStyle w:val="TableText"/>
              <w:jc w:val="left"/>
              <w:rPr>
                <w:color w:val="000000"/>
              </w:rPr>
            </w:pPr>
            <w:r w:rsidRPr="00622086">
              <w:rPr>
                <w:color w:val="000000"/>
                <w:lang w:val="en-GB"/>
              </w:rPr>
              <w:t>Chronic</w:t>
            </w:r>
          </w:p>
        </w:tc>
        <w:tc>
          <w:tcPr>
            <w:tcW w:w="556" w:type="pct"/>
            <w:tcBorders>
              <w:top w:val="single" w:sz="4" w:space="0" w:color="auto"/>
              <w:bottom w:val="nil"/>
            </w:tcBorders>
          </w:tcPr>
          <w:p w14:paraId="5AB407CC" w14:textId="77777777" w:rsidR="00001875" w:rsidRDefault="00001875" w:rsidP="004665FC">
            <w:pPr>
              <w:pStyle w:val="TableText"/>
              <w:jc w:val="left"/>
              <w:rPr>
                <w:color w:val="000000"/>
                <w:lang w:val="en-GB"/>
              </w:rPr>
            </w:pPr>
            <w:r w:rsidRPr="00622086">
              <w:rPr>
                <w:color w:val="000000"/>
                <w:lang w:val="en-GB"/>
              </w:rPr>
              <w:t>NOEC</w:t>
            </w:r>
          </w:p>
          <w:p w14:paraId="479C142C" w14:textId="77777777" w:rsidR="00001875" w:rsidRPr="00622086" w:rsidRDefault="00001875" w:rsidP="004665FC">
            <w:pPr>
              <w:pStyle w:val="TableText"/>
              <w:jc w:val="left"/>
              <w:rPr>
                <w:color w:val="000000"/>
              </w:rPr>
            </w:pPr>
            <w:r w:rsidRPr="00622086">
              <w:rPr>
                <w:color w:val="000000"/>
                <w:lang w:val="en-GB"/>
              </w:rPr>
              <w:t>(Survival)</w:t>
            </w:r>
          </w:p>
        </w:tc>
        <w:tc>
          <w:tcPr>
            <w:tcW w:w="608" w:type="pct"/>
            <w:tcBorders>
              <w:top w:val="single" w:sz="4" w:space="0" w:color="auto"/>
              <w:bottom w:val="nil"/>
            </w:tcBorders>
          </w:tcPr>
          <w:p w14:paraId="49BEA783" w14:textId="77777777" w:rsidR="00001875" w:rsidRPr="00622086" w:rsidRDefault="00001875" w:rsidP="004665FC">
            <w:pPr>
              <w:pStyle w:val="TableText"/>
              <w:jc w:val="left"/>
              <w:rPr>
                <w:color w:val="000000"/>
              </w:rPr>
            </w:pPr>
            <w:r w:rsidRPr="00622086">
              <w:rPr>
                <w:color w:val="000000"/>
                <w:lang w:val="en-GB"/>
              </w:rPr>
              <w:t>Filtered seawater</w:t>
            </w:r>
          </w:p>
        </w:tc>
        <w:tc>
          <w:tcPr>
            <w:tcW w:w="304" w:type="pct"/>
            <w:tcBorders>
              <w:top w:val="single" w:sz="4" w:space="0" w:color="auto"/>
              <w:bottom w:val="nil"/>
            </w:tcBorders>
          </w:tcPr>
          <w:p w14:paraId="322D2A07" w14:textId="77777777" w:rsidR="00001875" w:rsidRPr="00622086" w:rsidRDefault="00001875" w:rsidP="004665FC">
            <w:pPr>
              <w:pStyle w:val="TableText"/>
              <w:jc w:val="left"/>
              <w:rPr>
                <w:color w:val="000000"/>
              </w:rPr>
            </w:pPr>
            <w:r w:rsidRPr="00622086">
              <w:rPr>
                <w:color w:val="000000"/>
                <w:lang w:val="en-GB"/>
              </w:rPr>
              <w:t>23.2 ± 0.4</w:t>
            </w:r>
          </w:p>
        </w:tc>
        <w:tc>
          <w:tcPr>
            <w:tcW w:w="305" w:type="pct"/>
            <w:tcBorders>
              <w:top w:val="single" w:sz="4" w:space="0" w:color="auto"/>
              <w:bottom w:val="nil"/>
            </w:tcBorders>
          </w:tcPr>
          <w:p w14:paraId="09B2156E" w14:textId="77777777" w:rsidR="00001875" w:rsidRPr="00622086" w:rsidRDefault="00001875" w:rsidP="004665FC">
            <w:pPr>
              <w:pStyle w:val="TableText"/>
              <w:jc w:val="left"/>
              <w:rPr>
                <w:color w:val="000000"/>
              </w:rPr>
            </w:pPr>
            <w:r w:rsidRPr="00622086">
              <w:rPr>
                <w:color w:val="000000"/>
                <w:lang w:val="en-GB"/>
              </w:rPr>
              <w:t>8 ± 0.2</w:t>
            </w:r>
          </w:p>
        </w:tc>
        <w:tc>
          <w:tcPr>
            <w:tcW w:w="510" w:type="pct"/>
            <w:tcBorders>
              <w:top w:val="single" w:sz="4" w:space="0" w:color="auto"/>
            </w:tcBorders>
          </w:tcPr>
          <w:p w14:paraId="0FECC9FF" w14:textId="02F60F7A" w:rsidR="00001875" w:rsidRPr="00622086" w:rsidRDefault="00001875" w:rsidP="004665FC">
            <w:pPr>
              <w:pStyle w:val="TableText"/>
              <w:jc w:val="left"/>
              <w:rPr>
                <w:color w:val="000000"/>
              </w:rPr>
            </w:pPr>
            <w:r w:rsidRPr="00622086">
              <w:rPr>
                <w:color w:val="000000"/>
                <w:lang w:val="en-GB"/>
              </w:rPr>
              <w:t>0.09</w:t>
            </w:r>
            <w:r w:rsidR="00733450">
              <w:rPr>
                <w:color w:val="000000"/>
                <w:lang w:val="en-GB"/>
              </w:rPr>
              <w:t>8</w:t>
            </w:r>
          </w:p>
        </w:tc>
        <w:tc>
          <w:tcPr>
            <w:tcW w:w="591" w:type="pct"/>
            <w:tcBorders>
              <w:top w:val="single" w:sz="4" w:space="0" w:color="auto"/>
            </w:tcBorders>
          </w:tcPr>
          <w:p w14:paraId="0A0DF57C" w14:textId="77777777" w:rsidR="00001875" w:rsidRPr="00622086" w:rsidRDefault="00001875" w:rsidP="004665FC">
            <w:pPr>
              <w:pStyle w:val="TableText"/>
              <w:jc w:val="left"/>
              <w:rPr>
                <w:color w:val="000000"/>
              </w:rPr>
            </w:pPr>
            <w:r w:rsidRPr="00622086">
              <w:rPr>
                <w:color w:val="000000"/>
                <w:lang w:val="en-GB"/>
              </w:rPr>
              <w:t>Volz et al. (2003)</w:t>
            </w:r>
          </w:p>
        </w:tc>
      </w:tr>
      <w:tr w:rsidR="00CC08AE" w:rsidRPr="00A61E13" w14:paraId="5485D5E6"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tcBorders>
              <w:top w:val="nil"/>
            </w:tcBorders>
            <w:shd w:val="clear" w:color="auto" w:fill="auto"/>
          </w:tcPr>
          <w:p w14:paraId="1951DC5A" w14:textId="77777777" w:rsidR="00D75E85" w:rsidRPr="00622086" w:rsidRDefault="00D75E85" w:rsidP="004665FC">
            <w:pPr>
              <w:pStyle w:val="TableText"/>
              <w:jc w:val="left"/>
              <w:rPr>
                <w:color w:val="000000"/>
              </w:rPr>
            </w:pPr>
            <w:r>
              <w:rPr>
                <w:color w:val="000000"/>
              </w:rPr>
              <w:t>–</w:t>
            </w:r>
          </w:p>
        </w:tc>
        <w:tc>
          <w:tcPr>
            <w:tcW w:w="510" w:type="pct"/>
            <w:shd w:val="clear" w:color="auto" w:fill="auto"/>
          </w:tcPr>
          <w:p w14:paraId="747F3066" w14:textId="363142E5" w:rsidR="00D75E85" w:rsidRPr="00E7365D" w:rsidRDefault="00D75E85" w:rsidP="004665FC">
            <w:pPr>
              <w:pStyle w:val="TableText"/>
              <w:jc w:val="left"/>
              <w:rPr>
                <w:b/>
                <w:bCs/>
                <w:color w:val="000000"/>
              </w:rPr>
            </w:pPr>
            <w:r w:rsidRPr="00E7365D">
              <w:rPr>
                <w:b/>
                <w:bCs/>
                <w:color w:val="000000"/>
                <w:lang w:val="en-GB"/>
              </w:rPr>
              <w:t>0.09</w:t>
            </w:r>
            <w:r w:rsidR="00733450">
              <w:rPr>
                <w:b/>
                <w:bCs/>
                <w:color w:val="000000"/>
                <w:lang w:val="en-GB"/>
              </w:rPr>
              <w:t>8</w:t>
            </w:r>
          </w:p>
        </w:tc>
        <w:tc>
          <w:tcPr>
            <w:tcW w:w="591" w:type="pct"/>
            <w:shd w:val="clear" w:color="auto" w:fill="auto"/>
          </w:tcPr>
          <w:p w14:paraId="4E70B2BD" w14:textId="77777777" w:rsidR="00D75E85" w:rsidRPr="00E7365D" w:rsidRDefault="00D75E85" w:rsidP="004665FC">
            <w:pPr>
              <w:pStyle w:val="TableText"/>
              <w:jc w:val="left"/>
              <w:rPr>
                <w:b/>
                <w:bCs/>
                <w:color w:val="000000"/>
              </w:rPr>
            </w:pPr>
            <w:r w:rsidRPr="00E7365D">
              <w:rPr>
                <w:b/>
                <w:bCs/>
                <w:color w:val="000000"/>
                <w:lang w:val="en-GB"/>
              </w:rPr>
              <w:t>Value used in SSD</w:t>
            </w:r>
          </w:p>
        </w:tc>
      </w:tr>
      <w:tr w:rsidR="002A64AF" w:rsidRPr="00A61E13" w14:paraId="4FCF7DE6" w14:textId="77777777" w:rsidTr="002A64AF">
        <w:trPr>
          <w:cantSplit/>
        </w:trPr>
        <w:tc>
          <w:tcPr>
            <w:tcW w:w="5000" w:type="pct"/>
            <w:gridSpan w:val="11"/>
          </w:tcPr>
          <w:p w14:paraId="6F9204CF" w14:textId="07924B55" w:rsidR="002A64AF" w:rsidRPr="00461F12" w:rsidRDefault="002A64AF" w:rsidP="002A64AF">
            <w:pPr>
              <w:pStyle w:val="TableHeading"/>
              <w:rPr>
                <w:lang w:val="en-GB"/>
              </w:rPr>
            </w:pPr>
            <w:r>
              <w:rPr>
                <w:lang w:val="en-GB"/>
              </w:rPr>
              <w:t>Marine</w:t>
            </w:r>
          </w:p>
        </w:tc>
      </w:tr>
      <w:bookmarkEnd w:id="47"/>
      <w:tr w:rsidR="00CC08AE" w:rsidRPr="00A61E13" w14:paraId="227C31E4"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405" w:type="pct"/>
            <w:vMerge w:val="restart"/>
            <w:shd w:val="clear" w:color="auto" w:fill="auto"/>
          </w:tcPr>
          <w:p w14:paraId="2BA19590" w14:textId="6E1677C1" w:rsidR="00001875" w:rsidRPr="00461F12" w:rsidRDefault="00001875" w:rsidP="004665FC">
            <w:pPr>
              <w:pStyle w:val="TableText"/>
              <w:jc w:val="left"/>
              <w:rPr>
                <w:color w:val="000000"/>
              </w:rPr>
            </w:pPr>
            <w:r>
              <w:rPr>
                <w:color w:val="000000"/>
                <w:lang w:val="en-GB"/>
              </w:rPr>
              <w:t>Crustacean</w:t>
            </w:r>
          </w:p>
        </w:tc>
        <w:tc>
          <w:tcPr>
            <w:tcW w:w="557" w:type="pct"/>
            <w:vMerge w:val="restart"/>
            <w:shd w:val="clear" w:color="auto" w:fill="auto"/>
          </w:tcPr>
          <w:p w14:paraId="70F391EC" w14:textId="77777777" w:rsidR="00001875" w:rsidRPr="00461F12" w:rsidRDefault="00001875" w:rsidP="004665FC">
            <w:pPr>
              <w:pStyle w:val="TableText"/>
              <w:jc w:val="left"/>
              <w:rPr>
                <w:iCs/>
                <w:color w:val="000000"/>
              </w:rPr>
            </w:pPr>
            <w:r w:rsidRPr="00461F12">
              <w:rPr>
                <w:i/>
                <w:color w:val="000000"/>
                <w:lang w:val="en-GB"/>
              </w:rPr>
              <w:t>Americamysis bahia</w:t>
            </w:r>
          </w:p>
        </w:tc>
        <w:tc>
          <w:tcPr>
            <w:tcW w:w="455" w:type="pct"/>
            <w:shd w:val="clear" w:color="auto" w:fill="auto"/>
          </w:tcPr>
          <w:p w14:paraId="57060B86" w14:textId="2EEBF711" w:rsidR="00001875" w:rsidRPr="00461F12" w:rsidRDefault="00001875" w:rsidP="00B7185D">
            <w:pPr>
              <w:pStyle w:val="TableText"/>
              <w:jc w:val="left"/>
              <w:rPr>
                <w:color w:val="000000"/>
              </w:rPr>
            </w:pPr>
            <w:r w:rsidRPr="00461F12">
              <w:rPr>
                <w:color w:val="000000"/>
                <w:lang w:val="en-GB"/>
              </w:rPr>
              <w:t>&lt;24</w:t>
            </w:r>
            <w:r>
              <w:rPr>
                <w:color w:val="000000"/>
                <w:lang w:val="en-GB"/>
              </w:rPr>
              <w:t> </w:t>
            </w:r>
            <w:r w:rsidRPr="00461F12">
              <w:rPr>
                <w:color w:val="000000"/>
                <w:lang w:val="en-GB"/>
              </w:rPr>
              <w:t>h</w:t>
            </w:r>
            <w:r w:rsidR="00B7185D">
              <w:rPr>
                <w:color w:val="000000"/>
                <w:lang w:val="en-GB"/>
              </w:rPr>
              <w:t xml:space="preserve"> </w:t>
            </w:r>
            <w:r w:rsidR="00B7185D">
              <w:rPr>
                <w:color w:val="000000"/>
              </w:rPr>
              <w:t>e</w:t>
            </w:r>
            <w:r>
              <w:rPr>
                <w:color w:val="000000"/>
              </w:rPr>
              <w:t>arly</w:t>
            </w:r>
            <w:r w:rsidR="00B7185D">
              <w:rPr>
                <w:color w:val="000000"/>
              </w:rPr>
              <w:t> </w:t>
            </w:r>
            <w:r>
              <w:rPr>
                <w:color w:val="000000"/>
              </w:rPr>
              <w:t>juvenile</w:t>
            </w:r>
          </w:p>
        </w:tc>
        <w:tc>
          <w:tcPr>
            <w:tcW w:w="354" w:type="pct"/>
            <w:shd w:val="clear" w:color="auto" w:fill="auto"/>
          </w:tcPr>
          <w:p w14:paraId="1DF4F6BD" w14:textId="77777777" w:rsidR="00001875" w:rsidRPr="00461F12" w:rsidRDefault="00001875" w:rsidP="004665FC">
            <w:pPr>
              <w:pStyle w:val="TableText"/>
              <w:jc w:val="left"/>
              <w:rPr>
                <w:color w:val="000000"/>
              </w:rPr>
            </w:pPr>
            <w:r w:rsidRPr="00461F12">
              <w:rPr>
                <w:color w:val="000000"/>
                <w:lang w:val="en-GB"/>
              </w:rPr>
              <w:t>28</w:t>
            </w:r>
          </w:p>
        </w:tc>
        <w:tc>
          <w:tcPr>
            <w:tcW w:w="355" w:type="pct"/>
            <w:shd w:val="clear" w:color="auto" w:fill="auto"/>
          </w:tcPr>
          <w:p w14:paraId="59AA6914" w14:textId="77777777" w:rsidR="00001875" w:rsidRPr="00461F12" w:rsidRDefault="00001875" w:rsidP="004665FC">
            <w:pPr>
              <w:pStyle w:val="TableText"/>
              <w:jc w:val="left"/>
              <w:rPr>
                <w:color w:val="000000"/>
              </w:rPr>
            </w:pPr>
            <w:r>
              <w:rPr>
                <w:color w:val="000000"/>
                <w:lang w:val="en-GB"/>
              </w:rPr>
              <w:t>Chronic</w:t>
            </w:r>
          </w:p>
        </w:tc>
        <w:tc>
          <w:tcPr>
            <w:tcW w:w="556" w:type="pct"/>
            <w:shd w:val="clear" w:color="auto" w:fill="auto"/>
          </w:tcPr>
          <w:p w14:paraId="798E1BD9" w14:textId="77777777" w:rsidR="00001875" w:rsidRDefault="00001875" w:rsidP="004665FC">
            <w:pPr>
              <w:pStyle w:val="TableText"/>
              <w:jc w:val="left"/>
              <w:rPr>
                <w:color w:val="000000"/>
                <w:lang w:val="en-GB"/>
              </w:rPr>
            </w:pPr>
            <w:r w:rsidRPr="00461F12">
              <w:rPr>
                <w:color w:val="000000"/>
                <w:lang w:val="en-GB"/>
              </w:rPr>
              <w:t>LOEC</w:t>
            </w:r>
          </w:p>
          <w:p w14:paraId="5BCF5023" w14:textId="77777777" w:rsidR="00001875" w:rsidRPr="00461F12" w:rsidRDefault="00001875" w:rsidP="004665FC">
            <w:pPr>
              <w:pStyle w:val="TableText"/>
              <w:jc w:val="left"/>
              <w:rPr>
                <w:color w:val="000000"/>
              </w:rPr>
            </w:pPr>
            <w:r w:rsidRPr="00461F12">
              <w:rPr>
                <w:color w:val="000000"/>
                <w:lang w:val="en-GB"/>
              </w:rPr>
              <w:t>(Mortality)</w:t>
            </w:r>
          </w:p>
        </w:tc>
        <w:tc>
          <w:tcPr>
            <w:tcW w:w="608" w:type="pct"/>
            <w:shd w:val="clear" w:color="auto" w:fill="auto"/>
          </w:tcPr>
          <w:p w14:paraId="3B4235BE" w14:textId="77777777" w:rsidR="00001875" w:rsidRPr="00461F12" w:rsidRDefault="00001875" w:rsidP="004665FC">
            <w:pPr>
              <w:pStyle w:val="TableText"/>
              <w:jc w:val="left"/>
              <w:rPr>
                <w:color w:val="000000"/>
              </w:rPr>
            </w:pPr>
            <w:r w:rsidRPr="00461F12">
              <w:rPr>
                <w:color w:val="000000"/>
                <w:lang w:val="en-GB"/>
              </w:rPr>
              <w:t>Natural or artific</w:t>
            </w:r>
            <w:r>
              <w:rPr>
                <w:color w:val="000000"/>
                <w:lang w:val="en-GB"/>
              </w:rPr>
              <w:t>i</w:t>
            </w:r>
            <w:r w:rsidRPr="00461F12">
              <w:rPr>
                <w:color w:val="000000"/>
                <w:lang w:val="en-GB"/>
              </w:rPr>
              <w:t>al seawater</w:t>
            </w:r>
          </w:p>
        </w:tc>
        <w:tc>
          <w:tcPr>
            <w:tcW w:w="304" w:type="pct"/>
            <w:shd w:val="clear" w:color="auto" w:fill="auto"/>
          </w:tcPr>
          <w:p w14:paraId="76148A7E" w14:textId="77777777" w:rsidR="00001875" w:rsidRPr="00461F12" w:rsidRDefault="00001875" w:rsidP="004665FC">
            <w:pPr>
              <w:pStyle w:val="TableText"/>
              <w:jc w:val="left"/>
              <w:rPr>
                <w:color w:val="000000"/>
              </w:rPr>
            </w:pPr>
            <w:r w:rsidRPr="00461F12">
              <w:rPr>
                <w:color w:val="000000"/>
                <w:lang w:val="en-GB"/>
              </w:rPr>
              <w:t>25 ± 2</w:t>
            </w:r>
          </w:p>
        </w:tc>
        <w:tc>
          <w:tcPr>
            <w:tcW w:w="305" w:type="pct"/>
            <w:shd w:val="clear" w:color="auto" w:fill="auto"/>
          </w:tcPr>
          <w:p w14:paraId="0D120720" w14:textId="77777777" w:rsidR="00001875" w:rsidRPr="00461F12" w:rsidRDefault="00001875" w:rsidP="004665FC">
            <w:pPr>
              <w:pStyle w:val="TableText"/>
              <w:jc w:val="left"/>
              <w:rPr>
                <w:color w:val="000000"/>
              </w:rPr>
            </w:pPr>
            <w:r>
              <w:rPr>
                <w:color w:val="000000"/>
                <w:lang w:val="en-GB"/>
              </w:rPr>
              <w:t>–</w:t>
            </w:r>
          </w:p>
        </w:tc>
        <w:tc>
          <w:tcPr>
            <w:tcW w:w="510" w:type="pct"/>
            <w:shd w:val="clear" w:color="auto" w:fill="auto"/>
          </w:tcPr>
          <w:p w14:paraId="07A81A24" w14:textId="77777777" w:rsidR="00001875" w:rsidRPr="00461F12" w:rsidRDefault="00001875" w:rsidP="004665FC">
            <w:pPr>
              <w:pStyle w:val="TableText"/>
              <w:jc w:val="left"/>
              <w:rPr>
                <w:color w:val="000000"/>
              </w:rPr>
            </w:pPr>
            <w:r w:rsidRPr="00461F12">
              <w:rPr>
                <w:color w:val="000000"/>
                <w:lang w:val="en-GB"/>
              </w:rPr>
              <w:t>0.014</w:t>
            </w:r>
          </w:p>
        </w:tc>
        <w:tc>
          <w:tcPr>
            <w:tcW w:w="591" w:type="pct"/>
            <w:shd w:val="clear" w:color="auto" w:fill="auto"/>
          </w:tcPr>
          <w:p w14:paraId="56FF7D71" w14:textId="77777777" w:rsidR="00001875" w:rsidRPr="00481B62" w:rsidRDefault="00001875" w:rsidP="004665FC">
            <w:pPr>
              <w:pStyle w:val="TableText"/>
              <w:jc w:val="left"/>
              <w:rPr>
                <w:color w:val="000000"/>
                <w:lang w:val="en-GB"/>
              </w:rPr>
            </w:pPr>
            <w:r w:rsidRPr="00461F12">
              <w:rPr>
                <w:color w:val="000000"/>
                <w:lang w:val="en-GB"/>
              </w:rPr>
              <w:t>USEPA (2015)</w:t>
            </w:r>
          </w:p>
        </w:tc>
      </w:tr>
      <w:tr w:rsidR="00CC08AE" w:rsidRPr="00A61E13" w14:paraId="79E3AF44" w14:textId="77777777" w:rsidTr="00CC08AE">
        <w:trPr>
          <w:cantSplit/>
        </w:trPr>
        <w:tc>
          <w:tcPr>
            <w:tcW w:w="405" w:type="pct"/>
            <w:vMerge/>
            <w:tcBorders>
              <w:bottom w:val="nil"/>
            </w:tcBorders>
          </w:tcPr>
          <w:p w14:paraId="47490CE4" w14:textId="77777777" w:rsidR="00001875" w:rsidRPr="00461F12" w:rsidRDefault="00001875" w:rsidP="004665FC">
            <w:pPr>
              <w:pStyle w:val="TableText"/>
              <w:jc w:val="left"/>
              <w:rPr>
                <w:color w:val="000000"/>
              </w:rPr>
            </w:pPr>
          </w:p>
        </w:tc>
        <w:tc>
          <w:tcPr>
            <w:tcW w:w="557" w:type="pct"/>
            <w:vMerge/>
            <w:tcBorders>
              <w:bottom w:val="nil"/>
            </w:tcBorders>
          </w:tcPr>
          <w:p w14:paraId="5880550D" w14:textId="77777777" w:rsidR="00001875" w:rsidRPr="00461F12" w:rsidRDefault="00001875" w:rsidP="004665FC">
            <w:pPr>
              <w:pStyle w:val="TableText"/>
              <w:jc w:val="left"/>
              <w:rPr>
                <w:iCs/>
                <w:color w:val="000000"/>
              </w:rPr>
            </w:pPr>
          </w:p>
        </w:tc>
        <w:tc>
          <w:tcPr>
            <w:tcW w:w="455" w:type="pct"/>
            <w:tcBorders>
              <w:bottom w:val="nil"/>
            </w:tcBorders>
          </w:tcPr>
          <w:p w14:paraId="4BF19515" w14:textId="143DA3D6" w:rsidR="00001875" w:rsidRPr="00461F12" w:rsidRDefault="00001875" w:rsidP="00B7185D">
            <w:pPr>
              <w:pStyle w:val="TableText"/>
              <w:jc w:val="left"/>
              <w:rPr>
                <w:color w:val="000000"/>
              </w:rPr>
            </w:pPr>
            <w:r w:rsidRPr="00461F12">
              <w:rPr>
                <w:color w:val="000000"/>
                <w:lang w:val="en-GB"/>
              </w:rPr>
              <w:t>&lt;24</w:t>
            </w:r>
            <w:r>
              <w:rPr>
                <w:color w:val="000000"/>
                <w:lang w:val="en-GB"/>
              </w:rPr>
              <w:t> </w:t>
            </w:r>
            <w:r w:rsidRPr="00461F12">
              <w:rPr>
                <w:color w:val="000000"/>
                <w:lang w:val="en-GB"/>
              </w:rPr>
              <w:t>h</w:t>
            </w:r>
            <w:r w:rsidR="00B7185D">
              <w:rPr>
                <w:color w:val="000000"/>
                <w:lang w:val="en-GB"/>
              </w:rPr>
              <w:t xml:space="preserve"> e</w:t>
            </w:r>
            <w:r>
              <w:rPr>
                <w:color w:val="000000"/>
                <w:lang w:val="en-GB"/>
              </w:rPr>
              <w:t>arly</w:t>
            </w:r>
            <w:r w:rsidR="00B7185D">
              <w:rPr>
                <w:color w:val="000000"/>
                <w:lang w:val="en-GB"/>
              </w:rPr>
              <w:t> </w:t>
            </w:r>
            <w:r>
              <w:rPr>
                <w:color w:val="000000"/>
                <w:lang w:val="en-GB"/>
              </w:rPr>
              <w:t>juvenile</w:t>
            </w:r>
          </w:p>
        </w:tc>
        <w:tc>
          <w:tcPr>
            <w:tcW w:w="354" w:type="pct"/>
            <w:tcBorders>
              <w:bottom w:val="nil"/>
            </w:tcBorders>
          </w:tcPr>
          <w:p w14:paraId="0DF12784" w14:textId="77777777" w:rsidR="00001875" w:rsidRPr="00461F12" w:rsidRDefault="00001875" w:rsidP="004665FC">
            <w:pPr>
              <w:pStyle w:val="TableText"/>
              <w:jc w:val="left"/>
              <w:rPr>
                <w:color w:val="000000"/>
              </w:rPr>
            </w:pPr>
            <w:r w:rsidRPr="00461F12">
              <w:rPr>
                <w:color w:val="000000"/>
                <w:lang w:val="en-GB"/>
              </w:rPr>
              <w:t>28</w:t>
            </w:r>
          </w:p>
        </w:tc>
        <w:tc>
          <w:tcPr>
            <w:tcW w:w="355" w:type="pct"/>
            <w:tcBorders>
              <w:bottom w:val="nil"/>
            </w:tcBorders>
          </w:tcPr>
          <w:p w14:paraId="7785A11B" w14:textId="77777777" w:rsidR="00001875" w:rsidRPr="00461F12" w:rsidRDefault="00001875" w:rsidP="004665FC">
            <w:pPr>
              <w:pStyle w:val="TableText"/>
              <w:jc w:val="left"/>
              <w:rPr>
                <w:color w:val="000000"/>
              </w:rPr>
            </w:pPr>
            <w:r>
              <w:rPr>
                <w:color w:val="000000"/>
                <w:lang w:val="en-GB"/>
              </w:rPr>
              <w:t>Chronic</w:t>
            </w:r>
          </w:p>
        </w:tc>
        <w:tc>
          <w:tcPr>
            <w:tcW w:w="556" w:type="pct"/>
            <w:tcBorders>
              <w:bottom w:val="nil"/>
            </w:tcBorders>
          </w:tcPr>
          <w:p w14:paraId="5C8284D0" w14:textId="77777777" w:rsidR="00001875" w:rsidRDefault="00001875" w:rsidP="004665FC">
            <w:pPr>
              <w:pStyle w:val="TableText"/>
              <w:jc w:val="left"/>
              <w:rPr>
                <w:color w:val="000000"/>
                <w:lang w:val="en-GB"/>
              </w:rPr>
            </w:pPr>
            <w:r w:rsidRPr="00461F12">
              <w:rPr>
                <w:color w:val="000000"/>
                <w:lang w:val="en-GB"/>
              </w:rPr>
              <w:t>LOEC</w:t>
            </w:r>
          </w:p>
          <w:p w14:paraId="162E1115" w14:textId="77777777" w:rsidR="00001875" w:rsidRPr="00461F12" w:rsidRDefault="00001875" w:rsidP="004665FC">
            <w:pPr>
              <w:pStyle w:val="TableText"/>
              <w:jc w:val="left"/>
              <w:rPr>
                <w:color w:val="000000"/>
              </w:rPr>
            </w:pPr>
            <w:r w:rsidRPr="00461F12">
              <w:rPr>
                <w:color w:val="000000"/>
                <w:lang w:val="en-GB"/>
              </w:rPr>
              <w:t>(Mortality)</w:t>
            </w:r>
          </w:p>
        </w:tc>
        <w:tc>
          <w:tcPr>
            <w:tcW w:w="608" w:type="pct"/>
            <w:tcBorders>
              <w:bottom w:val="nil"/>
            </w:tcBorders>
          </w:tcPr>
          <w:p w14:paraId="00520D3A" w14:textId="77777777" w:rsidR="00001875" w:rsidRPr="00461F12" w:rsidRDefault="00001875" w:rsidP="004665FC">
            <w:pPr>
              <w:pStyle w:val="TableText"/>
              <w:jc w:val="left"/>
              <w:rPr>
                <w:color w:val="000000"/>
              </w:rPr>
            </w:pPr>
            <w:r w:rsidRPr="00461F12">
              <w:rPr>
                <w:color w:val="000000"/>
                <w:lang w:val="en-GB"/>
              </w:rPr>
              <w:t>Natural or artific</w:t>
            </w:r>
            <w:r>
              <w:rPr>
                <w:color w:val="000000"/>
                <w:lang w:val="en-GB"/>
              </w:rPr>
              <w:t>i</w:t>
            </w:r>
            <w:r w:rsidRPr="00461F12">
              <w:rPr>
                <w:color w:val="000000"/>
                <w:lang w:val="en-GB"/>
              </w:rPr>
              <w:t>al seawater</w:t>
            </w:r>
          </w:p>
        </w:tc>
        <w:tc>
          <w:tcPr>
            <w:tcW w:w="304" w:type="pct"/>
            <w:tcBorders>
              <w:bottom w:val="nil"/>
            </w:tcBorders>
          </w:tcPr>
          <w:p w14:paraId="66D21F31" w14:textId="77777777" w:rsidR="00001875" w:rsidRPr="00461F12" w:rsidRDefault="00001875" w:rsidP="004665FC">
            <w:pPr>
              <w:pStyle w:val="TableText"/>
              <w:jc w:val="left"/>
              <w:rPr>
                <w:color w:val="000000"/>
              </w:rPr>
            </w:pPr>
            <w:r w:rsidRPr="00461F12">
              <w:rPr>
                <w:color w:val="000000"/>
                <w:lang w:val="en-GB"/>
              </w:rPr>
              <w:t>25 ± 2</w:t>
            </w:r>
          </w:p>
        </w:tc>
        <w:tc>
          <w:tcPr>
            <w:tcW w:w="305" w:type="pct"/>
            <w:tcBorders>
              <w:bottom w:val="nil"/>
            </w:tcBorders>
          </w:tcPr>
          <w:p w14:paraId="260392B0" w14:textId="77777777" w:rsidR="00001875" w:rsidRPr="00461F12" w:rsidRDefault="00001875" w:rsidP="004665FC">
            <w:pPr>
              <w:pStyle w:val="TableText"/>
              <w:jc w:val="left"/>
              <w:rPr>
                <w:color w:val="000000"/>
              </w:rPr>
            </w:pPr>
            <w:r>
              <w:rPr>
                <w:color w:val="000000"/>
                <w:lang w:val="en-GB"/>
              </w:rPr>
              <w:t>–</w:t>
            </w:r>
          </w:p>
        </w:tc>
        <w:tc>
          <w:tcPr>
            <w:tcW w:w="510" w:type="pct"/>
          </w:tcPr>
          <w:p w14:paraId="721F43C6" w14:textId="77777777" w:rsidR="00001875" w:rsidRPr="00461F12" w:rsidRDefault="00001875" w:rsidP="004665FC">
            <w:pPr>
              <w:pStyle w:val="TableText"/>
              <w:jc w:val="left"/>
              <w:rPr>
                <w:color w:val="000000"/>
              </w:rPr>
            </w:pPr>
            <w:r w:rsidRPr="00461F12">
              <w:rPr>
                <w:color w:val="000000"/>
                <w:lang w:val="en-GB"/>
              </w:rPr>
              <w:t>0.005</w:t>
            </w:r>
          </w:p>
        </w:tc>
        <w:tc>
          <w:tcPr>
            <w:tcW w:w="591" w:type="pct"/>
          </w:tcPr>
          <w:p w14:paraId="3477FAF7" w14:textId="77777777" w:rsidR="00001875" w:rsidRPr="00461F12" w:rsidRDefault="00001875" w:rsidP="004665FC">
            <w:pPr>
              <w:pStyle w:val="TableText"/>
              <w:jc w:val="left"/>
              <w:rPr>
                <w:color w:val="000000"/>
              </w:rPr>
            </w:pPr>
            <w:r w:rsidRPr="00461F12">
              <w:rPr>
                <w:color w:val="000000"/>
                <w:lang w:val="en-GB"/>
              </w:rPr>
              <w:t>USEPA (2015)</w:t>
            </w:r>
          </w:p>
        </w:tc>
      </w:tr>
      <w:tr w:rsidR="00CC08AE" w:rsidRPr="00A61E13" w14:paraId="6C23D932" w14:textId="77777777" w:rsidTr="00CC08AE">
        <w:trPr>
          <w:cnfStyle w:val="000000100000" w:firstRow="0" w:lastRow="0" w:firstColumn="0" w:lastColumn="0" w:oddVBand="0" w:evenVBand="0" w:oddHBand="1" w:evenHBand="0" w:firstRowFirstColumn="0" w:firstRowLastColumn="0" w:lastRowFirstColumn="0" w:lastRowLastColumn="0"/>
          <w:cantSplit/>
        </w:trPr>
        <w:tc>
          <w:tcPr>
            <w:tcW w:w="3899" w:type="pct"/>
            <w:gridSpan w:val="9"/>
            <w:vMerge w:val="restart"/>
            <w:tcBorders>
              <w:top w:val="nil"/>
              <w:bottom w:val="single" w:sz="12" w:space="0" w:color="auto"/>
            </w:tcBorders>
            <w:shd w:val="clear" w:color="auto" w:fill="auto"/>
          </w:tcPr>
          <w:p w14:paraId="2EC7C63B" w14:textId="77777777" w:rsidR="00D75E85" w:rsidRPr="00622086" w:rsidRDefault="00D75E85" w:rsidP="004665FC">
            <w:pPr>
              <w:pStyle w:val="TableText"/>
              <w:jc w:val="left"/>
              <w:rPr>
                <w:color w:val="000000"/>
              </w:rPr>
            </w:pPr>
            <w:r>
              <w:rPr>
                <w:color w:val="000000"/>
              </w:rPr>
              <w:t>–</w:t>
            </w:r>
          </w:p>
        </w:tc>
        <w:tc>
          <w:tcPr>
            <w:tcW w:w="510" w:type="pct"/>
            <w:tcBorders>
              <w:bottom w:val="single" w:sz="4" w:space="0" w:color="auto"/>
            </w:tcBorders>
            <w:shd w:val="clear" w:color="auto" w:fill="auto"/>
          </w:tcPr>
          <w:p w14:paraId="410C8918" w14:textId="09195783" w:rsidR="00D75E85" w:rsidRPr="009A4791" w:rsidRDefault="00D75E85" w:rsidP="004665FC">
            <w:pPr>
              <w:pStyle w:val="TableText"/>
              <w:jc w:val="left"/>
              <w:rPr>
                <w:i/>
                <w:iCs/>
                <w:color w:val="000000"/>
              </w:rPr>
            </w:pPr>
            <w:r w:rsidRPr="009A4791">
              <w:rPr>
                <w:i/>
                <w:iCs/>
                <w:color w:val="000000"/>
                <w:lang w:val="en-GB"/>
              </w:rPr>
              <w:t>0.008</w:t>
            </w:r>
          </w:p>
        </w:tc>
        <w:tc>
          <w:tcPr>
            <w:tcW w:w="591" w:type="pct"/>
            <w:tcBorders>
              <w:bottom w:val="single" w:sz="4" w:space="0" w:color="auto"/>
            </w:tcBorders>
            <w:shd w:val="clear" w:color="auto" w:fill="auto"/>
          </w:tcPr>
          <w:p w14:paraId="18F43862" w14:textId="77777777" w:rsidR="00D75E85" w:rsidRPr="009A4791" w:rsidRDefault="00D75E85" w:rsidP="004665FC">
            <w:pPr>
              <w:pStyle w:val="TableText"/>
              <w:jc w:val="left"/>
              <w:rPr>
                <w:i/>
                <w:iCs/>
                <w:color w:val="000000"/>
              </w:rPr>
            </w:pPr>
            <w:r w:rsidRPr="009A4791">
              <w:rPr>
                <w:i/>
                <w:iCs/>
                <w:color w:val="000000"/>
                <w:lang w:val="en-GB"/>
              </w:rPr>
              <w:t>Geometric mean</w:t>
            </w:r>
          </w:p>
        </w:tc>
      </w:tr>
      <w:tr w:rsidR="00CC08AE" w:rsidRPr="00A61E13" w14:paraId="7ED7485C" w14:textId="77777777" w:rsidTr="00CC08AE">
        <w:trPr>
          <w:cantSplit/>
        </w:trPr>
        <w:tc>
          <w:tcPr>
            <w:tcW w:w="3899" w:type="pct"/>
            <w:gridSpan w:val="9"/>
            <w:vMerge/>
            <w:tcBorders>
              <w:bottom w:val="single" w:sz="12" w:space="0" w:color="auto"/>
            </w:tcBorders>
          </w:tcPr>
          <w:p w14:paraId="36504BF3" w14:textId="77777777" w:rsidR="00D75E85" w:rsidRPr="00622086" w:rsidRDefault="00D75E85" w:rsidP="004665FC">
            <w:pPr>
              <w:pStyle w:val="TableText"/>
              <w:jc w:val="left"/>
              <w:rPr>
                <w:color w:val="000000"/>
              </w:rPr>
            </w:pPr>
          </w:p>
        </w:tc>
        <w:tc>
          <w:tcPr>
            <w:tcW w:w="510" w:type="pct"/>
            <w:tcBorders>
              <w:bottom w:val="single" w:sz="12" w:space="0" w:color="auto"/>
            </w:tcBorders>
          </w:tcPr>
          <w:p w14:paraId="417E7BA0" w14:textId="77777777" w:rsidR="00D75E85" w:rsidRPr="00622086" w:rsidRDefault="00D75E85" w:rsidP="004665FC">
            <w:pPr>
              <w:pStyle w:val="TableText"/>
              <w:jc w:val="left"/>
              <w:rPr>
                <w:color w:val="000000"/>
              </w:rPr>
            </w:pPr>
            <w:r w:rsidRPr="009A4791">
              <w:rPr>
                <w:b/>
                <w:bCs/>
                <w:color w:val="000000"/>
                <w:lang w:val="en-GB"/>
              </w:rPr>
              <w:t>0.003</w:t>
            </w:r>
            <w:r>
              <w:rPr>
                <w:color w:val="000000"/>
                <w:lang w:val="en-GB"/>
              </w:rPr>
              <w:t xml:space="preserve"> </w:t>
            </w:r>
            <w:r w:rsidRPr="00C64456">
              <w:rPr>
                <w:rStyle w:val="Strong"/>
                <w:vertAlign w:val="superscript"/>
              </w:rPr>
              <w:t>b</w:t>
            </w:r>
          </w:p>
        </w:tc>
        <w:tc>
          <w:tcPr>
            <w:tcW w:w="591" w:type="pct"/>
            <w:tcBorders>
              <w:bottom w:val="single" w:sz="12" w:space="0" w:color="auto"/>
            </w:tcBorders>
          </w:tcPr>
          <w:p w14:paraId="2C597481" w14:textId="77777777" w:rsidR="00D75E85" w:rsidRPr="009A4791" w:rsidRDefault="00D75E85" w:rsidP="004665FC">
            <w:pPr>
              <w:pStyle w:val="TableText"/>
              <w:jc w:val="left"/>
              <w:rPr>
                <w:b/>
                <w:bCs/>
                <w:iCs/>
                <w:color w:val="000000"/>
              </w:rPr>
            </w:pPr>
            <w:r w:rsidRPr="009A4791">
              <w:rPr>
                <w:b/>
                <w:bCs/>
                <w:iCs/>
                <w:color w:val="000000"/>
                <w:lang w:val="en-GB"/>
              </w:rPr>
              <w:t>Value used in SSD</w:t>
            </w:r>
          </w:p>
        </w:tc>
      </w:tr>
    </w:tbl>
    <w:p w14:paraId="0DB12BB7" w14:textId="1C5F0650" w:rsidR="00DD3DB7" w:rsidRPr="00DD3DB7" w:rsidRDefault="00DD3DB7" w:rsidP="00DD3DB7">
      <w:pPr>
        <w:pStyle w:val="FigureTableNoteSource"/>
        <w:rPr>
          <w:lang w:val="en-GB"/>
        </w:rPr>
      </w:pPr>
      <w:r>
        <w:rPr>
          <w:lang w:val="en-GB"/>
        </w:rPr>
        <w:t xml:space="preserve">– : </w:t>
      </w:r>
      <w:r w:rsidR="00A33F9B">
        <w:rPr>
          <w:lang w:val="en-GB"/>
        </w:rPr>
        <w:t xml:space="preserve">Not </w:t>
      </w:r>
      <w:r>
        <w:rPr>
          <w:lang w:val="en-GB"/>
        </w:rPr>
        <w:t>stated or not applicable.</w:t>
      </w:r>
    </w:p>
    <w:p w14:paraId="2953CAD4" w14:textId="0FCF5B36" w:rsidR="003372B9" w:rsidRPr="003372B9" w:rsidRDefault="003372B9" w:rsidP="00DD3DB7">
      <w:pPr>
        <w:pStyle w:val="FigureTableNoteSource"/>
        <w:rPr>
          <w:lang w:val="en-GB"/>
        </w:rPr>
      </w:pPr>
      <w:r w:rsidRPr="005B0B74">
        <w:rPr>
          <w:rStyle w:val="Strong"/>
        </w:rPr>
        <w:t>a</w:t>
      </w:r>
      <w:r w:rsidR="005246B0" w:rsidRPr="003F74E0">
        <w:rPr>
          <w:lang w:val="en-GB"/>
        </w:rPr>
        <w:t xml:space="preserve"> </w:t>
      </w:r>
      <w:r w:rsidR="00D31D3B">
        <w:rPr>
          <w:lang w:val="en-GB"/>
        </w:rPr>
        <w:t>LOEC values</w:t>
      </w:r>
      <w:r w:rsidR="0004790F">
        <w:rPr>
          <w:lang w:val="en-GB"/>
        </w:rPr>
        <w:t xml:space="preserve"> are</w:t>
      </w:r>
      <w:r w:rsidR="00D31D3B">
        <w:rPr>
          <w:lang w:val="en-GB"/>
        </w:rPr>
        <w:t xml:space="preserve"> for the S</w:t>
      </w:r>
      <w:r w:rsidR="00C060E2">
        <w:rPr>
          <w:lang w:val="en-GB"/>
        </w:rPr>
        <w:t> </w:t>
      </w:r>
      <w:r w:rsidR="00D31D3B">
        <w:rPr>
          <w:lang w:val="en-GB"/>
        </w:rPr>
        <w:t>enantiomer</w:t>
      </w:r>
      <w:r w:rsidR="0004790F">
        <w:rPr>
          <w:lang w:val="en-GB"/>
        </w:rPr>
        <w:t>, which we</w:t>
      </w:r>
      <w:r w:rsidR="00E11058">
        <w:rPr>
          <w:lang w:val="en-GB"/>
        </w:rPr>
        <w:t xml:space="preserve">re lower than the </w:t>
      </w:r>
      <w:r w:rsidR="00D31D3B">
        <w:rPr>
          <w:lang w:val="en-GB"/>
        </w:rPr>
        <w:t>NOEC</w:t>
      </w:r>
      <w:r w:rsidR="0079275F">
        <w:rPr>
          <w:lang w:val="en-GB"/>
        </w:rPr>
        <w:t xml:space="preserve"> values</w:t>
      </w:r>
      <w:r w:rsidR="00D31D3B">
        <w:rPr>
          <w:lang w:val="en-GB"/>
        </w:rPr>
        <w:t xml:space="preserve"> for the </w:t>
      </w:r>
      <w:r w:rsidR="00E11058" w:rsidRPr="003F74E0">
        <w:t>R</w:t>
      </w:r>
      <w:r w:rsidR="00C060E2">
        <w:t> </w:t>
      </w:r>
      <w:r w:rsidR="00E11058" w:rsidRPr="003F74E0">
        <w:t>enantiomer and racemate forms of fipronil</w:t>
      </w:r>
      <w:r w:rsidR="0004790F">
        <w:t xml:space="preserve"> (see </w:t>
      </w:r>
      <w:r w:rsidR="00EE29A7">
        <w:t>Section </w:t>
      </w:r>
      <w:r w:rsidR="00EE29A7">
        <w:fldChar w:fldCharType="begin"/>
      </w:r>
      <w:r w:rsidR="00EE29A7">
        <w:instrText xml:space="preserve"> REF _Ref199343026 \r \h </w:instrText>
      </w:r>
      <w:r w:rsidR="00EE29A7">
        <w:fldChar w:fldCharType="separate"/>
      </w:r>
      <w:r w:rsidR="00BA1209">
        <w:t>4.1</w:t>
      </w:r>
      <w:r w:rsidR="00EE29A7">
        <w:fldChar w:fldCharType="end"/>
      </w:r>
      <w:r w:rsidR="0004790F">
        <w:t>)</w:t>
      </w:r>
      <w:r w:rsidR="00E11058">
        <w:t>.</w:t>
      </w:r>
      <w:r w:rsidR="00E11058">
        <w:rPr>
          <w:lang w:val="en-GB"/>
        </w:rPr>
        <w:t xml:space="preserve"> </w:t>
      </w:r>
    </w:p>
    <w:p w14:paraId="1C1C41C1" w14:textId="6085495E" w:rsidR="003372B9" w:rsidRPr="003372B9" w:rsidRDefault="003372B9" w:rsidP="00DD3DB7">
      <w:pPr>
        <w:pStyle w:val="FigureTableNoteSource"/>
        <w:rPr>
          <w:lang w:val="en-GB"/>
        </w:rPr>
      </w:pPr>
      <w:r w:rsidRPr="005B0B74">
        <w:rPr>
          <w:rStyle w:val="Strong"/>
        </w:rPr>
        <w:t>b</w:t>
      </w:r>
      <w:r w:rsidR="003C188D" w:rsidRPr="003372B9">
        <w:rPr>
          <w:lang w:val="en-GB"/>
        </w:rPr>
        <w:t xml:space="preserve"> </w:t>
      </w:r>
      <w:r w:rsidR="00DE54A8">
        <w:rPr>
          <w:lang w:val="en-GB"/>
        </w:rPr>
        <w:t>C</w:t>
      </w:r>
      <w:r w:rsidR="00E11058" w:rsidRPr="006F2A6F">
        <w:rPr>
          <w:lang w:val="en-GB"/>
        </w:rPr>
        <w:t xml:space="preserve">hronic LOEC values were converted to chronic negligible effect values by dividing by 2.5 (Warne et al. 2018). </w:t>
      </w:r>
    </w:p>
    <w:p w14:paraId="15FC6807" w14:textId="2A91A1B8" w:rsidR="003372B9" w:rsidRDefault="003372B9" w:rsidP="00DD3DB7">
      <w:pPr>
        <w:pStyle w:val="FigureTableNoteSource"/>
        <w:rPr>
          <w:lang w:val="en-GB"/>
        </w:rPr>
      </w:pPr>
      <w:r w:rsidRPr="005B0B74">
        <w:rPr>
          <w:rStyle w:val="Strong"/>
        </w:rPr>
        <w:t>c</w:t>
      </w:r>
      <w:r w:rsidR="003C188D" w:rsidRPr="006F2A6F">
        <w:rPr>
          <w:lang w:val="en-GB"/>
        </w:rPr>
        <w:t xml:space="preserve"> </w:t>
      </w:r>
      <w:r w:rsidR="00DE54A8">
        <w:rPr>
          <w:lang w:val="en-GB"/>
        </w:rPr>
        <w:t>A</w:t>
      </w:r>
      <w:r w:rsidR="00E11058" w:rsidRPr="006F2A6F">
        <w:rPr>
          <w:lang w:val="en-GB"/>
        </w:rPr>
        <w:t>cute EC50</w:t>
      </w:r>
      <w:r w:rsidR="00DE54A8">
        <w:rPr>
          <w:lang w:val="en-GB"/>
        </w:rPr>
        <w:t xml:space="preserve"> and</w:t>
      </w:r>
      <w:r w:rsidR="000D565F">
        <w:rPr>
          <w:lang w:val="en-GB"/>
        </w:rPr>
        <w:t xml:space="preserve"> </w:t>
      </w:r>
      <w:r w:rsidR="00E11058" w:rsidRPr="006F2A6F">
        <w:rPr>
          <w:lang w:val="en-GB"/>
        </w:rPr>
        <w:t>LC50 values were converted to chronic negligible effect values by dividing by 10 (Warne et al. 2018).</w:t>
      </w:r>
      <w:r w:rsidR="00595B35" w:rsidRPr="006F2A6F">
        <w:rPr>
          <w:lang w:val="en-GB"/>
        </w:rPr>
        <w:t xml:space="preserve"> </w:t>
      </w:r>
    </w:p>
    <w:p w14:paraId="0AA36432" w14:textId="79D0D3E8" w:rsidR="0008065D" w:rsidRDefault="003372B9" w:rsidP="00DD3DB7">
      <w:pPr>
        <w:pStyle w:val="FigureTableNoteSource"/>
        <w:rPr>
          <w:rFonts w:ascii="Myriad Pro" w:eastAsiaTheme="minorEastAsia" w:hAnsi="Myriad Pro" w:cstheme="minorHAnsi"/>
          <w:szCs w:val="18"/>
          <w:lang w:val="en-US" w:bidi="en-US"/>
        </w:rPr>
      </w:pPr>
      <w:r w:rsidRPr="005B0B74">
        <w:rPr>
          <w:rStyle w:val="Strong"/>
        </w:rPr>
        <w:t>d</w:t>
      </w:r>
      <w:r w:rsidR="00595B35" w:rsidRPr="006F2A6F">
        <w:rPr>
          <w:lang w:val="en-GB"/>
        </w:rPr>
        <w:t xml:space="preserve"> </w:t>
      </w:r>
      <w:r w:rsidR="003E6588" w:rsidRPr="006F2A6F">
        <w:rPr>
          <w:lang w:val="en-GB"/>
        </w:rPr>
        <w:t>The</w:t>
      </w:r>
      <w:r w:rsidR="00346B30">
        <w:rPr>
          <w:lang w:val="en-GB"/>
        </w:rPr>
        <w:t xml:space="preserve"> NOEL value for this species </w:t>
      </w:r>
      <w:r w:rsidR="002E5367">
        <w:rPr>
          <w:lang w:val="en-GB"/>
        </w:rPr>
        <w:t>and endpoint was</w:t>
      </w:r>
      <w:r w:rsidR="00346B30">
        <w:rPr>
          <w:lang w:val="en-GB"/>
        </w:rPr>
        <w:t xml:space="preserve"> used over</w:t>
      </w:r>
      <w:r w:rsidR="002E5367">
        <w:rPr>
          <w:lang w:val="en-GB"/>
        </w:rPr>
        <w:t xml:space="preserve"> a lower</w:t>
      </w:r>
      <w:r w:rsidR="00346B30">
        <w:rPr>
          <w:lang w:val="en-GB"/>
        </w:rPr>
        <w:t xml:space="preserve"> </w:t>
      </w:r>
      <w:r w:rsidR="0028301C">
        <w:rPr>
          <w:lang w:val="en-GB"/>
        </w:rPr>
        <w:t>LOEL value</w:t>
      </w:r>
      <w:r w:rsidR="00251BD8">
        <w:rPr>
          <w:lang w:val="en-GB"/>
        </w:rPr>
        <w:t xml:space="preserve"> due to NOEL</w:t>
      </w:r>
      <w:r w:rsidR="004D44FF">
        <w:rPr>
          <w:lang w:val="en-GB"/>
        </w:rPr>
        <w:t>s</w:t>
      </w:r>
      <w:r w:rsidR="00251BD8">
        <w:rPr>
          <w:lang w:val="en-GB"/>
        </w:rPr>
        <w:t xml:space="preserve"> </w:t>
      </w:r>
      <w:r w:rsidR="0026069A">
        <w:rPr>
          <w:lang w:val="en-GB"/>
        </w:rPr>
        <w:t xml:space="preserve">being a preferred </w:t>
      </w:r>
      <w:r w:rsidR="004D44FF">
        <w:rPr>
          <w:lang w:val="en-GB"/>
        </w:rPr>
        <w:t>type of toxicity value over LOELs (</w:t>
      </w:r>
      <w:r w:rsidR="00CC013F">
        <w:rPr>
          <w:lang w:val="en-GB"/>
        </w:rPr>
        <w:t>refer to accompanying datasheets)</w:t>
      </w:r>
      <w:r w:rsidR="00C37945">
        <w:rPr>
          <w:lang w:val="en-GB"/>
        </w:rPr>
        <w:t>.</w:t>
      </w:r>
    </w:p>
    <w:p w14:paraId="2C660FD1" w14:textId="77777777" w:rsidR="0008065D" w:rsidRDefault="0008065D" w:rsidP="0008065D">
      <w:pPr>
        <w:pStyle w:val="Table1caption"/>
        <w:spacing w:before="0" w:after="0"/>
      </w:pPr>
    </w:p>
    <w:p w14:paraId="08884EA0" w14:textId="77777777" w:rsidR="00660EA7" w:rsidRDefault="00660EA7" w:rsidP="0008065D">
      <w:pPr>
        <w:pStyle w:val="Table1caption"/>
        <w:spacing w:before="0" w:after="0"/>
        <w:sectPr w:rsidR="00660EA7" w:rsidSect="00660EA7">
          <w:pgSz w:w="16840" w:h="11907" w:orient="landscape" w:code="9"/>
          <w:pgMar w:top="1418" w:right="1418" w:bottom="1418" w:left="1418" w:header="567" w:footer="284" w:gutter="0"/>
          <w:cols w:space="708"/>
          <w:docGrid w:linePitch="299"/>
        </w:sectPr>
      </w:pPr>
    </w:p>
    <w:p w14:paraId="0EC35CC4" w14:textId="5BF5F047" w:rsidR="0008065D" w:rsidRPr="003C5047" w:rsidRDefault="00E80DF2" w:rsidP="000B43C8">
      <w:pPr>
        <w:pStyle w:val="Heading2"/>
        <w:numPr>
          <w:ilvl w:val="0"/>
          <w:numId w:val="0"/>
        </w:numPr>
        <w:rPr>
          <w:b/>
          <w:caps/>
          <w:sz w:val="52"/>
          <w:szCs w:val="56"/>
        </w:rPr>
      </w:pPr>
      <w:bookmarkStart w:id="48" w:name="_Toc46327098"/>
      <w:bookmarkStart w:id="49" w:name="_Ref199343330"/>
      <w:bookmarkStart w:id="50" w:name="_Ref199343367"/>
      <w:bookmarkStart w:id="51" w:name="_Ref199343429"/>
      <w:bookmarkStart w:id="52" w:name="_Toc205549925"/>
      <w:r w:rsidRPr="003C5047">
        <w:rPr>
          <w:sz w:val="52"/>
        </w:rPr>
        <w:lastRenderedPageBreak/>
        <w:t>A</w:t>
      </w:r>
      <w:r>
        <w:rPr>
          <w:sz w:val="52"/>
        </w:rPr>
        <w:t>ppendix</w:t>
      </w:r>
      <w:r w:rsidR="00A72E18">
        <w:rPr>
          <w:sz w:val="52"/>
        </w:rPr>
        <w:t> </w:t>
      </w:r>
      <w:r w:rsidR="0008065D" w:rsidRPr="003C5047">
        <w:rPr>
          <w:sz w:val="52"/>
        </w:rPr>
        <w:t xml:space="preserve">B: </w:t>
      </w:r>
      <w:r w:rsidR="0008065D" w:rsidRPr="003C5047">
        <w:rPr>
          <w:rStyle w:val="Heading3Char"/>
          <w:b w:val="0"/>
          <w:sz w:val="52"/>
        </w:rPr>
        <w:t xml:space="preserve">Modality assessment for </w:t>
      </w:r>
      <w:r w:rsidR="00622086" w:rsidRPr="003C5047">
        <w:rPr>
          <w:rStyle w:val="Heading3Char"/>
          <w:b w:val="0"/>
          <w:sz w:val="52"/>
        </w:rPr>
        <w:t>fipronil</w:t>
      </w:r>
      <w:r w:rsidR="0008065D" w:rsidRPr="003C5047">
        <w:rPr>
          <w:rStyle w:val="Heading3Char"/>
          <w:b w:val="0"/>
          <w:sz w:val="52"/>
        </w:rPr>
        <w:t xml:space="preserve"> toxicity to aquatic species</w:t>
      </w:r>
      <w:bookmarkEnd w:id="48"/>
      <w:bookmarkEnd w:id="49"/>
      <w:bookmarkEnd w:id="50"/>
      <w:bookmarkEnd w:id="51"/>
      <w:bookmarkEnd w:id="52"/>
    </w:p>
    <w:p w14:paraId="5327EA1F" w14:textId="77777777" w:rsidR="004139F2" w:rsidRDefault="004139F2" w:rsidP="00787ECC">
      <w:r w:rsidRPr="00B7164F">
        <w:t xml:space="preserve">A modality assessment was undertaken for </w:t>
      </w:r>
      <w:r>
        <w:t>fipronil</w:t>
      </w:r>
      <w:r w:rsidRPr="00B7164F">
        <w:t xml:space="preserve"> according to the </w:t>
      </w:r>
      <w:r>
        <w:t>weight of evidence approach specified</w:t>
      </w:r>
      <w:r w:rsidRPr="00B7164F">
        <w:t xml:space="preserve"> in Warne</w:t>
      </w:r>
      <w:r w:rsidRPr="00B7164F">
        <w:rPr>
          <w:i/>
        </w:rPr>
        <w:t xml:space="preserve"> </w:t>
      </w:r>
      <w:r w:rsidRPr="00984E1D">
        <w:rPr>
          <w:iCs/>
        </w:rPr>
        <w:t>et al.</w:t>
      </w:r>
      <w:r w:rsidRPr="00B7164F">
        <w:t xml:space="preserve"> (2018). </w:t>
      </w:r>
    </w:p>
    <w:p w14:paraId="3D4D97E1" w14:textId="77777777" w:rsidR="004139F2" w:rsidRDefault="004139F2" w:rsidP="00787ECC">
      <w:pPr>
        <w:pStyle w:val="Heading5"/>
      </w:pPr>
      <w:r w:rsidRPr="006D645C">
        <w:t>Is there a specific mode of action that could result in taxa-specific sensitivity?</w:t>
      </w:r>
    </w:p>
    <w:p w14:paraId="64C86CCD" w14:textId="6E7ECEFB" w:rsidR="004139F2" w:rsidRDefault="004139F2" w:rsidP="00787ECC">
      <w:r w:rsidRPr="009F2AA3">
        <w:t xml:space="preserve">Fipronil exerts toxicity by binding to </w:t>
      </w:r>
      <w:r w:rsidR="00B27760">
        <w:t xml:space="preserve">and blocking </w:t>
      </w:r>
      <w:r w:rsidRPr="009F2AA3">
        <w:t>the γ-aminobutyric acid (GABA) receptors and glutamate-gated chloride channels in nerve cells</w:t>
      </w:r>
      <w:r w:rsidR="002C46AC">
        <w:t>.</w:t>
      </w:r>
      <w:r w:rsidR="002D4546">
        <w:t xml:space="preserve"> </w:t>
      </w:r>
      <w:r w:rsidR="002C46AC">
        <w:t xml:space="preserve">Fipronil </w:t>
      </w:r>
      <w:r w:rsidR="002D4546">
        <w:t xml:space="preserve">has a </w:t>
      </w:r>
      <w:r w:rsidRPr="009F2AA3">
        <w:t xml:space="preserve">stronger affinity for </w:t>
      </w:r>
      <w:r w:rsidR="002C46AC">
        <w:t xml:space="preserve">these </w:t>
      </w:r>
      <w:r w:rsidRPr="009F2AA3">
        <w:t>receptors in insects and other arthropods than for receptors in vertebrates (</w:t>
      </w:r>
      <w:r w:rsidR="0069581A" w:rsidRPr="009F2AA3">
        <w:t xml:space="preserve">Konwick et al. 2005; Narahashi et al. 2010; </w:t>
      </w:r>
      <w:r w:rsidRPr="009F2AA3">
        <w:t xml:space="preserve">Baird et al. 2013; Simon-Delso et al. 2015). </w:t>
      </w:r>
      <w:r w:rsidR="00F770D8">
        <w:t>As such</w:t>
      </w:r>
      <w:r w:rsidR="009B4205">
        <w:t>,</w:t>
      </w:r>
      <w:r w:rsidR="00F770D8">
        <w:t xml:space="preserve"> fipronil </w:t>
      </w:r>
      <w:r w:rsidR="009B4205">
        <w:t xml:space="preserve">is considered </w:t>
      </w:r>
      <w:r w:rsidR="00B27760">
        <w:t xml:space="preserve">more toxic to </w:t>
      </w:r>
      <w:r w:rsidR="00181E45">
        <w:t xml:space="preserve">arthropods </w:t>
      </w:r>
      <w:r w:rsidR="00B27760">
        <w:t xml:space="preserve">than </w:t>
      </w:r>
      <w:r w:rsidR="009B4205">
        <w:t xml:space="preserve">to </w:t>
      </w:r>
      <w:r w:rsidR="00B27760">
        <w:t>vertebrates and plants</w:t>
      </w:r>
      <w:r w:rsidR="00F770D8">
        <w:t>.</w:t>
      </w:r>
    </w:p>
    <w:p w14:paraId="7802DB0C" w14:textId="77777777" w:rsidR="004139F2" w:rsidRPr="004139F2" w:rsidRDefault="004139F2" w:rsidP="00787ECC">
      <w:pPr>
        <w:pStyle w:val="Heading5"/>
      </w:pPr>
      <w:r w:rsidRPr="004139F2">
        <w:t>Does the dataset suggest bimodality?</w:t>
      </w:r>
    </w:p>
    <w:p w14:paraId="6A9F29B2" w14:textId="6F065693" w:rsidR="0043221B" w:rsidRDefault="004139F2" w:rsidP="0043221B">
      <w:r>
        <w:t xml:space="preserve">Modality was assessed using a dataset that combined all </w:t>
      </w:r>
      <w:r w:rsidR="002D4546">
        <w:t xml:space="preserve">estuarine, </w:t>
      </w:r>
      <w:r w:rsidRPr="007E1BE9">
        <w:t>freshwater and marine</w:t>
      </w:r>
      <w:r w:rsidR="00E6030C">
        <w:t xml:space="preserve"> toxicity</w:t>
      </w:r>
      <w:r w:rsidRPr="007E1BE9">
        <w:t xml:space="preserve"> </w:t>
      </w:r>
      <w:r>
        <w:t>data</w:t>
      </w:r>
      <w:r w:rsidRPr="007E1BE9">
        <w:t xml:space="preserve"> that passed the screening and quality assessment </w:t>
      </w:r>
      <w:r>
        <w:t>(</w:t>
      </w:r>
      <w:r w:rsidRPr="00787ECC">
        <w:rPr>
          <w:iCs/>
        </w:rPr>
        <w:t>n</w:t>
      </w:r>
      <w:r w:rsidR="0069581A">
        <w:rPr>
          <w:iCs/>
        </w:rPr>
        <w:t> </w:t>
      </w:r>
      <w:r>
        <w:t>=</w:t>
      </w:r>
      <w:r w:rsidR="0069581A">
        <w:t> </w:t>
      </w:r>
      <w:r>
        <w:t xml:space="preserve">42). </w:t>
      </w:r>
      <w:r w:rsidR="003E1713">
        <w:rPr>
          <w:rFonts w:cstheme="minorHAnsi"/>
        </w:rPr>
        <w:t xml:space="preserve">This was done to increase the sample size of the dataset being assessed. </w:t>
      </w:r>
      <w:r w:rsidRPr="007E1BE9">
        <w:t xml:space="preserve">All data that were not chronic </w:t>
      </w:r>
      <w:r w:rsidR="003E1713">
        <w:t>negligible</w:t>
      </w:r>
      <w:r>
        <w:t xml:space="preserve"> effect</w:t>
      </w:r>
      <w:r w:rsidRPr="007E1BE9">
        <w:t xml:space="preserve"> values</w:t>
      </w:r>
      <w:r>
        <w:t xml:space="preserve"> (e.g. NOEC)</w:t>
      </w:r>
      <w:r w:rsidRPr="007E1BE9">
        <w:t xml:space="preserve"> were converted to this type of data using the methods reco</w:t>
      </w:r>
      <w:r>
        <w:t>mmended by Warne et al. (2018). Box and whisker plots for the freshwater</w:t>
      </w:r>
      <w:r w:rsidR="006D03DE">
        <w:t>,</w:t>
      </w:r>
      <w:r>
        <w:t xml:space="preserve"> marine</w:t>
      </w:r>
      <w:r w:rsidR="00320DA1">
        <w:t xml:space="preserve"> and estuarine</w:t>
      </w:r>
      <w:r>
        <w:t xml:space="preserve"> data </w:t>
      </w:r>
      <w:r w:rsidR="003E1713">
        <w:t xml:space="preserve">indicated </w:t>
      </w:r>
      <w:r>
        <w:t xml:space="preserve">the organisms </w:t>
      </w:r>
      <w:r w:rsidR="00B27760">
        <w:t xml:space="preserve">in these media </w:t>
      </w:r>
      <w:r>
        <w:t xml:space="preserve">have </w:t>
      </w:r>
      <w:r w:rsidR="0050663E">
        <w:t>similar</w:t>
      </w:r>
      <w:r>
        <w:t xml:space="preserve"> sensitivit</w:t>
      </w:r>
      <w:r w:rsidR="0050663E">
        <w:t>ies</w:t>
      </w:r>
      <w:r>
        <w:t xml:space="preserve"> (</w:t>
      </w:r>
      <w:r w:rsidR="00F64FFD">
        <w:fldChar w:fldCharType="begin"/>
      </w:r>
      <w:r w:rsidR="00F64FFD">
        <w:instrText xml:space="preserve"> REF _Ref199343238 \h </w:instrText>
      </w:r>
      <w:r w:rsidR="00F64FFD">
        <w:fldChar w:fldCharType="separate"/>
      </w:r>
      <w:r w:rsidR="00BA1209">
        <w:t>Figure B </w:t>
      </w:r>
      <w:r w:rsidR="00BA1209">
        <w:rPr>
          <w:noProof/>
        </w:rPr>
        <w:t>1</w:t>
      </w:r>
      <w:r w:rsidR="00F64FFD">
        <w:fldChar w:fldCharType="end"/>
      </w:r>
      <w:r w:rsidR="00615D53">
        <w:t>)</w:t>
      </w:r>
      <w:r w:rsidR="006D03DE">
        <w:t xml:space="preserve">; </w:t>
      </w:r>
      <w:r w:rsidR="00D37673">
        <w:t xml:space="preserve">as such, </w:t>
      </w:r>
      <w:r w:rsidR="00D37673" w:rsidRPr="00A372D1">
        <w:t>the pooled dataset was retained for the modality assessment</w:t>
      </w:r>
      <w:r w:rsidR="00615D53">
        <w:t>.</w:t>
      </w:r>
      <w:r w:rsidR="0043221B">
        <w:t xml:space="preserve"> Calculation of</w:t>
      </w:r>
      <w:r w:rsidR="0043221B" w:rsidRPr="00CE4D55">
        <w:t xml:space="preserve"> the bimodality coefficient</w:t>
      </w:r>
      <w:r w:rsidR="0043221B" w:rsidRPr="007E1BE9">
        <w:t xml:space="preserve"> (BC</w:t>
      </w:r>
      <w:r w:rsidR="0043221B">
        <w:t>) on log-transformed data yielded a value of 0.510</w:t>
      </w:r>
      <w:r w:rsidR="0043221B" w:rsidRPr="008657F8">
        <w:t xml:space="preserve"> </w:t>
      </w:r>
      <w:r w:rsidR="00FD5E33">
        <w:t>(</w:t>
      </w:r>
      <w:r w:rsidR="0043221B" w:rsidRPr="008657F8">
        <w:t>which</w:t>
      </w:r>
      <w:r w:rsidR="0043221B">
        <w:t xml:space="preserve"> is below the indicative threshold BC for bimodality of 0.55</w:t>
      </w:r>
      <w:r w:rsidR="00FD5E33">
        <w:t>)</w:t>
      </w:r>
      <w:r w:rsidR="0043221B">
        <w:t>, suggesting the dataset does not exhibit bimodality.</w:t>
      </w:r>
      <w:r w:rsidR="0043221B" w:rsidRPr="007E1BE9">
        <w:t xml:space="preserve"> </w:t>
      </w:r>
      <w:r w:rsidR="0043221B">
        <w:t>However, a frequency histogram of the dataset indicated that the dataset may not be unimodal (</w:t>
      </w:r>
      <w:r w:rsidR="0043221B">
        <w:fldChar w:fldCharType="begin"/>
      </w:r>
      <w:r w:rsidR="0043221B">
        <w:instrText xml:space="preserve"> REF _Ref199343251 \h </w:instrText>
      </w:r>
      <w:r w:rsidR="0043221B">
        <w:fldChar w:fldCharType="separate"/>
      </w:r>
      <w:r w:rsidR="00BA1209">
        <w:t>Figure B </w:t>
      </w:r>
      <w:r w:rsidR="00BA1209">
        <w:rPr>
          <w:noProof/>
        </w:rPr>
        <w:t>2</w:t>
      </w:r>
      <w:r w:rsidR="0043221B">
        <w:fldChar w:fldCharType="end"/>
      </w:r>
      <w:r w:rsidR="0043221B">
        <w:t>). Thus, the evidence is somewhat contradictory.</w:t>
      </w:r>
    </w:p>
    <w:p w14:paraId="171DDB7A" w14:textId="4A4E84B2" w:rsidR="00A63A2A" w:rsidRDefault="00E8522F" w:rsidP="00D14480">
      <w:pPr>
        <w:keepLines/>
        <w:spacing w:after="120"/>
      </w:pPr>
      <w:r>
        <w:rPr>
          <w:noProof/>
        </w:rPr>
        <w:drawing>
          <wp:inline distT="0" distB="0" distL="0" distR="0" wp14:anchorId="29EDD39F" wp14:editId="2F6F274E">
            <wp:extent cx="4236720" cy="2812081"/>
            <wp:effectExtent l="0" t="0" r="0" b="7620"/>
            <wp:docPr id="13" name="Picture 13" descr="Figure displays the sensitivity of freshwater, marine and estuarine species to fipronil in mari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displays the sensitivity of freshwater, marine and estuarine species to fipronil in marine water."/>
                    <pic:cNvPicPr>
                      <a:picLocks noChangeAspect="1" noChangeArrowheads="1"/>
                    </pic:cNvPicPr>
                  </pic:nvPicPr>
                  <pic:blipFill rotWithShape="1">
                    <a:blip r:embed="rId26">
                      <a:extLst>
                        <a:ext uri="{28A0092B-C50C-407E-A947-70E740481C1C}">
                          <a14:useLocalDpi xmlns:a14="http://schemas.microsoft.com/office/drawing/2010/main" val="0"/>
                        </a:ext>
                      </a:extLst>
                    </a:blip>
                    <a:srcRect l="1756" t="4062" r="11844" b="1986"/>
                    <a:stretch>
                      <a:fillRect/>
                    </a:stretch>
                  </pic:blipFill>
                  <pic:spPr bwMode="auto">
                    <a:xfrm>
                      <a:off x="0" y="0"/>
                      <a:ext cx="4267621" cy="2832591"/>
                    </a:xfrm>
                    <a:prstGeom prst="rect">
                      <a:avLst/>
                    </a:prstGeom>
                    <a:noFill/>
                    <a:ln>
                      <a:noFill/>
                    </a:ln>
                    <a:extLst>
                      <a:ext uri="{53640926-AAD7-44D8-BBD7-CCE9431645EC}">
                        <a14:shadowObscured xmlns:a14="http://schemas.microsoft.com/office/drawing/2010/main"/>
                      </a:ext>
                    </a:extLst>
                  </pic:spPr>
                </pic:pic>
              </a:graphicData>
            </a:graphic>
          </wp:inline>
        </w:drawing>
      </w:r>
    </w:p>
    <w:p w14:paraId="309854B1" w14:textId="5628AEAF" w:rsidR="006D03DE" w:rsidRDefault="006D03DE" w:rsidP="00D14480">
      <w:pPr>
        <w:pStyle w:val="FigureTableNoteSource"/>
        <w:keepLines/>
        <w:spacing w:after="120"/>
      </w:pPr>
      <w:r w:rsidRPr="00C61988">
        <w:rPr>
          <w:noProof/>
          <w:lang w:eastAsia="en-AU"/>
        </w:rPr>
        <w:t>Note: ‘x’ denotes the mean; circles represent the individual toxicity values.</w:t>
      </w:r>
    </w:p>
    <w:p w14:paraId="5C0705A2" w14:textId="2DC39A92" w:rsidR="004139F2" w:rsidRPr="00787ECC" w:rsidRDefault="001C1A1B" w:rsidP="007D19C9">
      <w:pPr>
        <w:pStyle w:val="Caption"/>
        <w:keepNext w:val="0"/>
        <w:keepLines/>
      </w:pPr>
      <w:bookmarkStart w:id="53" w:name="_Ref199343238"/>
      <w:bookmarkStart w:id="54" w:name="_Toc205549932"/>
      <w:r>
        <w:t>Figure B </w:t>
      </w:r>
      <w:r w:rsidR="00D14480">
        <w:fldChar w:fldCharType="begin"/>
      </w:r>
      <w:r w:rsidR="00D14480">
        <w:instrText xml:space="preserve"> SEQ Figure_B \* ARABIC </w:instrText>
      </w:r>
      <w:r w:rsidR="00D14480">
        <w:fldChar w:fldCharType="separate"/>
      </w:r>
      <w:r w:rsidR="00BA1209">
        <w:rPr>
          <w:noProof/>
        </w:rPr>
        <w:t>1</w:t>
      </w:r>
      <w:r w:rsidR="00D14480">
        <w:rPr>
          <w:noProof/>
        </w:rPr>
        <w:fldChar w:fldCharType="end"/>
      </w:r>
      <w:bookmarkEnd w:id="53"/>
      <w:r w:rsidR="00DE1B1F" w:rsidRPr="00787ECC">
        <w:t xml:space="preserve"> </w:t>
      </w:r>
      <w:r w:rsidR="00EE5217" w:rsidRPr="00787ECC">
        <w:t>Box plot</w:t>
      </w:r>
      <w:r w:rsidR="0050663E">
        <w:t>,</w:t>
      </w:r>
      <w:r w:rsidR="00EE5217" w:rsidRPr="00787ECC">
        <w:t xml:space="preserve"> freshwater</w:t>
      </w:r>
      <w:r w:rsidR="0050663E">
        <w:t>,</w:t>
      </w:r>
      <w:r w:rsidR="00EE5217" w:rsidRPr="00787ECC">
        <w:t xml:space="preserve"> marine </w:t>
      </w:r>
      <w:r w:rsidR="0050663E">
        <w:t xml:space="preserve">and </w:t>
      </w:r>
      <w:r w:rsidR="002D4546" w:rsidRPr="00787ECC">
        <w:t xml:space="preserve">estuarine </w:t>
      </w:r>
      <w:r w:rsidR="00EE5217" w:rsidRPr="00787ECC">
        <w:t>species</w:t>
      </w:r>
      <w:r w:rsidR="0003422F" w:rsidRPr="00787ECC">
        <w:t xml:space="preserve"> </w:t>
      </w:r>
      <w:r w:rsidR="0050663E">
        <w:t>sensitivit</w:t>
      </w:r>
      <w:r w:rsidR="00814F94">
        <w:t>y</w:t>
      </w:r>
      <w:r w:rsidR="0050663E" w:rsidRPr="00787ECC">
        <w:t xml:space="preserve"> </w:t>
      </w:r>
      <w:r w:rsidR="0003422F" w:rsidRPr="00787ECC">
        <w:t>to fipronil</w:t>
      </w:r>
      <w:bookmarkEnd w:id="54"/>
    </w:p>
    <w:p w14:paraId="07EF54BF" w14:textId="45C3E89B" w:rsidR="00C11A2A" w:rsidRDefault="002D4546" w:rsidP="00D14480">
      <w:pPr>
        <w:keepLines/>
        <w:spacing w:after="120"/>
      </w:pPr>
      <w:r>
        <w:rPr>
          <w:noProof/>
          <w:lang w:eastAsia="en-AU"/>
        </w:rPr>
        <w:lastRenderedPageBreak/>
        <w:drawing>
          <wp:inline distT="0" distB="0" distL="0" distR="0" wp14:anchorId="6EB83E74" wp14:editId="765CAB84">
            <wp:extent cx="3602182" cy="3439922"/>
            <wp:effectExtent l="0" t="0" r="0" b="8255"/>
            <wp:docPr id="8" name="Picture 8" descr="Figure displays a histogram of the dataset that shows the log-transformed toxicity data (x axis) against relative frequency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displays a histogram of the dataset that shows the log-transformed toxicity data (x axis) against relative frequency (y axis)."/>
                    <pic:cNvPicPr/>
                  </pic:nvPicPr>
                  <pic:blipFill rotWithShape="1">
                    <a:blip r:embed="rId27">
                      <a:extLst>
                        <a:ext uri="{28A0092B-C50C-407E-A947-70E740481C1C}">
                          <a14:useLocalDpi xmlns:a14="http://schemas.microsoft.com/office/drawing/2010/main" val="0"/>
                        </a:ext>
                      </a:extLst>
                    </a:blip>
                    <a:srcRect l="888" t="699" r="651" b="630"/>
                    <a:stretch/>
                  </pic:blipFill>
                  <pic:spPr bwMode="auto">
                    <a:xfrm>
                      <a:off x="0" y="0"/>
                      <a:ext cx="3620390" cy="3457310"/>
                    </a:xfrm>
                    <a:prstGeom prst="rect">
                      <a:avLst/>
                    </a:prstGeom>
                    <a:ln>
                      <a:noFill/>
                    </a:ln>
                    <a:extLst>
                      <a:ext uri="{53640926-AAD7-44D8-BBD7-CCE9431645EC}">
                        <a14:shadowObscured xmlns:a14="http://schemas.microsoft.com/office/drawing/2010/main"/>
                      </a:ext>
                    </a:extLst>
                  </pic:spPr>
                </pic:pic>
              </a:graphicData>
            </a:graphic>
          </wp:inline>
        </w:drawing>
      </w:r>
    </w:p>
    <w:p w14:paraId="79B39CB8" w14:textId="0602AF50" w:rsidR="00EE5217" w:rsidRPr="00787ECC" w:rsidRDefault="0083113B" w:rsidP="007D19C9">
      <w:pPr>
        <w:pStyle w:val="Caption"/>
        <w:keepNext w:val="0"/>
        <w:keepLines/>
      </w:pPr>
      <w:bookmarkStart w:id="55" w:name="_Ref199343251"/>
      <w:bookmarkStart w:id="56" w:name="_Toc205549933"/>
      <w:r>
        <w:t>Figure B </w:t>
      </w:r>
      <w:r w:rsidR="00D14480">
        <w:fldChar w:fldCharType="begin"/>
      </w:r>
      <w:r w:rsidR="00D14480">
        <w:instrText xml:space="preserve"> SEQ Figure_B \* ARABIC </w:instrText>
      </w:r>
      <w:r w:rsidR="00D14480">
        <w:fldChar w:fldCharType="separate"/>
      </w:r>
      <w:r w:rsidR="00BA1209">
        <w:rPr>
          <w:noProof/>
        </w:rPr>
        <w:t>2</w:t>
      </w:r>
      <w:r w:rsidR="00D14480">
        <w:rPr>
          <w:noProof/>
        </w:rPr>
        <w:fldChar w:fldCharType="end"/>
      </w:r>
      <w:bookmarkEnd w:id="55"/>
      <w:r w:rsidR="00EE5217" w:rsidRPr="00787ECC">
        <w:t xml:space="preserve"> Histogram</w:t>
      </w:r>
      <w:r w:rsidR="00D24E51">
        <w:t>,</w:t>
      </w:r>
      <w:r w:rsidR="00EE5217" w:rsidRPr="00787ECC">
        <w:t xml:space="preserve"> fresh</w:t>
      </w:r>
      <w:r w:rsidR="00CC3090" w:rsidRPr="00787ECC">
        <w:t>water</w:t>
      </w:r>
      <w:r w:rsidR="00D24E51">
        <w:t>,</w:t>
      </w:r>
      <w:r w:rsidR="00EE5217" w:rsidRPr="00787ECC">
        <w:t xml:space="preserve"> marine </w:t>
      </w:r>
      <w:r w:rsidR="00D24E51">
        <w:t xml:space="preserve">and estuarine </w:t>
      </w:r>
      <w:r w:rsidR="00EE5217" w:rsidRPr="00787ECC">
        <w:t>species</w:t>
      </w:r>
      <w:r w:rsidR="002D4AB9" w:rsidRPr="00787ECC">
        <w:t xml:space="preserve"> </w:t>
      </w:r>
      <w:r w:rsidR="00D24E51">
        <w:t>dataset</w:t>
      </w:r>
      <w:bookmarkEnd w:id="56"/>
    </w:p>
    <w:p w14:paraId="5D629E5E" w14:textId="23819BD7" w:rsidR="004139F2" w:rsidRPr="008C1D30" w:rsidRDefault="004139F2" w:rsidP="00787ECC">
      <w:pPr>
        <w:pStyle w:val="Heading5"/>
      </w:pPr>
      <w:r w:rsidRPr="008C1D30">
        <w:t>Do data show taxa-specific sensitivity (i.e. through distinct groupings of different taxa types)?</w:t>
      </w:r>
    </w:p>
    <w:p w14:paraId="667A65D4" w14:textId="7E17BFDB" w:rsidR="00EE5217" w:rsidRDefault="004139F2" w:rsidP="00787ECC">
      <w:r>
        <w:t>The relative sensitivity of arthropods and non-arthropods to fipronil was compared using box and whisker plots (</w:t>
      </w:r>
      <w:r w:rsidR="00F64FFD">
        <w:fldChar w:fldCharType="begin"/>
      </w:r>
      <w:r w:rsidR="00F64FFD">
        <w:instrText xml:space="preserve"> REF _Ref199343262 \h </w:instrText>
      </w:r>
      <w:r w:rsidR="00F64FFD">
        <w:fldChar w:fldCharType="separate"/>
      </w:r>
      <w:r w:rsidR="00BA1209">
        <w:t>Figure B </w:t>
      </w:r>
      <w:r w:rsidR="00BA1209">
        <w:rPr>
          <w:noProof/>
        </w:rPr>
        <w:t>3</w:t>
      </w:r>
      <w:r w:rsidR="00F64FFD">
        <w:fldChar w:fldCharType="end"/>
      </w:r>
      <w:r>
        <w:t>) and a species sensitivity distribution (</w:t>
      </w:r>
      <w:r w:rsidR="00F64FFD">
        <w:fldChar w:fldCharType="begin"/>
      </w:r>
      <w:r w:rsidR="00F64FFD">
        <w:instrText xml:space="preserve"> REF _Ref199343266 \h </w:instrText>
      </w:r>
      <w:r w:rsidR="00F64FFD">
        <w:fldChar w:fldCharType="separate"/>
      </w:r>
      <w:r w:rsidR="00BA1209">
        <w:t>Figure B </w:t>
      </w:r>
      <w:r w:rsidR="00BA1209">
        <w:rPr>
          <w:noProof/>
        </w:rPr>
        <w:t>4</w:t>
      </w:r>
      <w:r w:rsidR="00F64FFD">
        <w:fldChar w:fldCharType="end"/>
      </w:r>
      <w:r>
        <w:t xml:space="preserve">). </w:t>
      </w:r>
      <w:r w:rsidRPr="000B162A">
        <w:t>These visual analyses indicate</w:t>
      </w:r>
      <w:r w:rsidR="0048594E">
        <w:t>d</w:t>
      </w:r>
      <w:r w:rsidRPr="000B162A">
        <w:t xml:space="preserve"> that arthropods </w:t>
      </w:r>
      <w:r w:rsidR="0048594E">
        <w:t>are more sensitive to fipronil than</w:t>
      </w:r>
      <w:r w:rsidR="0048594E" w:rsidRPr="000B162A">
        <w:t xml:space="preserve"> </w:t>
      </w:r>
      <w:r w:rsidRPr="000B162A">
        <w:t>non-arthropods</w:t>
      </w:r>
      <w:r w:rsidR="0048594E">
        <w:t>, although there was not a clear separation between the sensitivit</w:t>
      </w:r>
      <w:r w:rsidR="00381BE9">
        <w:t>ies</w:t>
      </w:r>
      <w:r w:rsidR="0048594E">
        <w:t xml:space="preserve"> of the two groups</w:t>
      </w:r>
      <w:r w:rsidRPr="000B162A">
        <w:t>.</w:t>
      </w:r>
    </w:p>
    <w:p w14:paraId="279424AB" w14:textId="57F19C0F" w:rsidR="00A63A2A" w:rsidRDefault="00F523D8" w:rsidP="00D14480">
      <w:pPr>
        <w:keepLines/>
        <w:spacing w:after="120"/>
      </w:pPr>
      <w:r>
        <w:rPr>
          <w:noProof/>
        </w:rPr>
        <w:drawing>
          <wp:inline distT="0" distB="0" distL="0" distR="0" wp14:anchorId="4945B5A8" wp14:editId="17862B37">
            <wp:extent cx="4329071" cy="2887980"/>
            <wp:effectExtent l="0" t="0" r="0" b="7620"/>
            <wp:docPr id="19" name="Picture 19" descr="Figure displays box and whisker plot comparing the sensitivities of arthropods and non-arthropods to fipron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displays box and whisker plot comparing the sensitivities of arthropods and non-arthropods to fipronil. "/>
                    <pic:cNvPicPr>
                      <a:picLocks noChangeAspect="1" noChangeArrowheads="1"/>
                    </pic:cNvPicPr>
                  </pic:nvPicPr>
                  <pic:blipFill rotWithShape="1">
                    <a:blip r:embed="rId28">
                      <a:extLst>
                        <a:ext uri="{28A0092B-C50C-407E-A947-70E740481C1C}">
                          <a14:useLocalDpi xmlns:a14="http://schemas.microsoft.com/office/drawing/2010/main" val="0"/>
                        </a:ext>
                      </a:extLst>
                    </a:blip>
                    <a:srcRect l="1664" t="4410" r="10867" b="1716"/>
                    <a:stretch>
                      <a:fillRect/>
                    </a:stretch>
                  </pic:blipFill>
                  <pic:spPr bwMode="auto">
                    <a:xfrm>
                      <a:off x="0" y="0"/>
                      <a:ext cx="4336562" cy="2892978"/>
                    </a:xfrm>
                    <a:prstGeom prst="rect">
                      <a:avLst/>
                    </a:prstGeom>
                    <a:noFill/>
                    <a:ln>
                      <a:noFill/>
                    </a:ln>
                    <a:extLst>
                      <a:ext uri="{53640926-AAD7-44D8-BBD7-CCE9431645EC}">
                        <a14:shadowObscured xmlns:a14="http://schemas.microsoft.com/office/drawing/2010/main"/>
                      </a:ext>
                    </a:extLst>
                  </pic:spPr>
                </pic:pic>
              </a:graphicData>
            </a:graphic>
          </wp:inline>
        </w:drawing>
      </w:r>
    </w:p>
    <w:p w14:paraId="0466606B" w14:textId="2B40D01D" w:rsidR="00EA38EF" w:rsidRDefault="00EA38EF" w:rsidP="00D14480">
      <w:pPr>
        <w:pStyle w:val="FigureTableNoteSource"/>
        <w:keepLines/>
        <w:spacing w:after="120"/>
      </w:pPr>
      <w:r w:rsidRPr="00C61988">
        <w:rPr>
          <w:noProof/>
          <w:lang w:eastAsia="en-AU"/>
        </w:rPr>
        <w:t>Note: ‘x’ denotes the mean; circles represent the individual toxicity values.</w:t>
      </w:r>
    </w:p>
    <w:p w14:paraId="4BBA259B" w14:textId="47A198D0" w:rsidR="00EE5217" w:rsidRPr="00787ECC" w:rsidRDefault="00FF2B08" w:rsidP="007D19C9">
      <w:pPr>
        <w:pStyle w:val="Caption"/>
        <w:keepNext w:val="0"/>
        <w:keepLines/>
      </w:pPr>
      <w:bookmarkStart w:id="57" w:name="_Ref199343262"/>
      <w:bookmarkStart w:id="58" w:name="_Toc205549934"/>
      <w:r>
        <w:t>Figure B </w:t>
      </w:r>
      <w:r w:rsidR="00D14480">
        <w:fldChar w:fldCharType="begin"/>
      </w:r>
      <w:r w:rsidR="00D14480">
        <w:instrText xml:space="preserve"> SEQ Figure_B \* ARABIC </w:instrText>
      </w:r>
      <w:r w:rsidR="00D14480">
        <w:fldChar w:fldCharType="separate"/>
      </w:r>
      <w:r w:rsidR="00BA1209">
        <w:rPr>
          <w:noProof/>
        </w:rPr>
        <w:t>3</w:t>
      </w:r>
      <w:r w:rsidR="00D14480">
        <w:rPr>
          <w:noProof/>
        </w:rPr>
        <w:fldChar w:fldCharType="end"/>
      </w:r>
      <w:bookmarkEnd w:id="57"/>
      <w:r w:rsidR="00DE1B1F" w:rsidRPr="00787ECC">
        <w:t xml:space="preserve"> </w:t>
      </w:r>
      <w:r w:rsidR="00EE5217" w:rsidRPr="00787ECC">
        <w:t xml:space="preserve">Box </w:t>
      </w:r>
      <w:r w:rsidR="00814F94">
        <w:t>plot,</w:t>
      </w:r>
      <w:r w:rsidR="00EE5217" w:rsidRPr="00787ECC">
        <w:t xml:space="preserve"> arthropod and non-arthropod </w:t>
      </w:r>
      <w:r w:rsidR="001532E1">
        <w:t>sensitivity</w:t>
      </w:r>
      <w:r w:rsidR="0003422F" w:rsidRPr="00787ECC">
        <w:t xml:space="preserve"> to fipronil</w:t>
      </w:r>
      <w:bookmarkEnd w:id="58"/>
    </w:p>
    <w:p w14:paraId="06FCAE10" w14:textId="3C269B20" w:rsidR="004139F2" w:rsidRDefault="00276A4D" w:rsidP="00D14480">
      <w:pPr>
        <w:keepLines/>
        <w:spacing w:after="120"/>
      </w:pPr>
      <w:r>
        <w:rPr>
          <w:noProof/>
          <w:lang w:eastAsia="en-AU"/>
        </w:rPr>
        <w:lastRenderedPageBreak/>
        <w:drawing>
          <wp:inline distT="0" distB="0" distL="0" distR="0" wp14:anchorId="53689F71" wp14:editId="120B9B22">
            <wp:extent cx="4143704" cy="3855720"/>
            <wp:effectExtent l="0" t="0" r="9525" b="0"/>
            <wp:docPr id="1" name="Picture 1" descr="Figure is a species sensitivity distribution showing the percentage of arthropods and non-arthropods potentially affected by fipronil (micrograms per li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is a species sensitivity distribution showing the percentage of arthropods and non-arthropods potentially affected by fipronil (micrograms per litre). "/>
                    <pic:cNvPicPr/>
                  </pic:nvPicPr>
                  <pic:blipFill rotWithShape="1">
                    <a:blip r:embed="rId29">
                      <a:extLst>
                        <a:ext uri="{28A0092B-C50C-407E-A947-70E740481C1C}">
                          <a14:useLocalDpi xmlns:a14="http://schemas.microsoft.com/office/drawing/2010/main" val="0"/>
                        </a:ext>
                      </a:extLst>
                    </a:blip>
                    <a:srcRect t="11587" r="8349" b="3132"/>
                    <a:stretch/>
                  </pic:blipFill>
                  <pic:spPr bwMode="auto">
                    <a:xfrm>
                      <a:off x="0" y="0"/>
                      <a:ext cx="4155222" cy="3866437"/>
                    </a:xfrm>
                    <a:prstGeom prst="rect">
                      <a:avLst/>
                    </a:prstGeom>
                    <a:ln>
                      <a:noFill/>
                    </a:ln>
                    <a:extLst>
                      <a:ext uri="{53640926-AAD7-44D8-BBD7-CCE9431645EC}">
                        <a14:shadowObscured xmlns:a14="http://schemas.microsoft.com/office/drawing/2010/main"/>
                      </a:ext>
                    </a:extLst>
                  </pic:spPr>
                </pic:pic>
              </a:graphicData>
            </a:graphic>
          </wp:inline>
        </w:drawing>
      </w:r>
    </w:p>
    <w:p w14:paraId="6BAE34CE" w14:textId="0DC5BDF1" w:rsidR="00EE5217" w:rsidRPr="00787ECC" w:rsidRDefault="00FF2B08" w:rsidP="007D19C9">
      <w:pPr>
        <w:pStyle w:val="Caption"/>
        <w:keepNext w:val="0"/>
        <w:keepLines/>
      </w:pPr>
      <w:bookmarkStart w:id="59" w:name="_Ref199343266"/>
      <w:bookmarkStart w:id="60" w:name="_Toc205549935"/>
      <w:r>
        <w:t>Figure B </w:t>
      </w:r>
      <w:r w:rsidR="00D14480">
        <w:fldChar w:fldCharType="begin"/>
      </w:r>
      <w:r w:rsidR="00D14480">
        <w:instrText xml:space="preserve"> SEQ Figure_B \* ARABIC </w:instrText>
      </w:r>
      <w:r w:rsidR="00D14480">
        <w:fldChar w:fldCharType="separate"/>
      </w:r>
      <w:r w:rsidR="00BA1209">
        <w:rPr>
          <w:noProof/>
        </w:rPr>
        <w:t>4</w:t>
      </w:r>
      <w:r w:rsidR="00D14480">
        <w:rPr>
          <w:noProof/>
        </w:rPr>
        <w:fldChar w:fldCharType="end"/>
      </w:r>
      <w:bookmarkEnd w:id="59"/>
      <w:r w:rsidR="00DE1B1F" w:rsidRPr="00787ECC">
        <w:t xml:space="preserve"> </w:t>
      </w:r>
      <w:r w:rsidR="00EE5217" w:rsidRPr="00787ECC">
        <w:t xml:space="preserve">Species sensitivity distribution, </w:t>
      </w:r>
      <w:r w:rsidR="002D4AB9" w:rsidRPr="00787ECC">
        <w:t xml:space="preserve">arthropod and non-arthropod </w:t>
      </w:r>
      <w:r w:rsidR="00CA524B">
        <w:t xml:space="preserve">sensitivity </w:t>
      </w:r>
      <w:r w:rsidR="002D4AB9" w:rsidRPr="00787ECC">
        <w:t>to fipronil</w:t>
      </w:r>
      <w:bookmarkEnd w:id="60"/>
    </w:p>
    <w:p w14:paraId="0A6C214E" w14:textId="13CC4BCA" w:rsidR="004139F2" w:rsidRPr="00787ECC" w:rsidRDefault="004139F2" w:rsidP="00787ECC">
      <w:pPr>
        <w:pStyle w:val="Heading5"/>
      </w:pPr>
      <w:r w:rsidRPr="00787ECC">
        <w:t>Is it likely that indications of bi</w:t>
      </w:r>
      <w:r w:rsidR="00414B8C">
        <w:t>modality</w:t>
      </w:r>
      <w:r w:rsidRPr="00787ECC">
        <w:t xml:space="preserve"> or multimodality or distinct clustering of taxa groups are not due to artefacts of data selection, small sample size, test procedures, or other reasons unrelated to a specific mode of action?</w:t>
      </w:r>
    </w:p>
    <w:p w14:paraId="714667C7" w14:textId="29BFD372" w:rsidR="004139F2" w:rsidRPr="004942E5" w:rsidRDefault="004139F2" w:rsidP="004139F2">
      <w:r w:rsidRPr="004942E5">
        <w:t>Given that there a</w:t>
      </w:r>
      <w:r>
        <w:t>re data for 24 arthropods and 18</w:t>
      </w:r>
      <w:r w:rsidRPr="004942E5">
        <w:t xml:space="preserve"> non-arthropods, it is likely that the distributions are representative</w:t>
      </w:r>
      <w:r w:rsidR="00F770D8" w:rsidRPr="00F770D8">
        <w:t xml:space="preserve"> </w:t>
      </w:r>
      <w:r w:rsidR="00F770D8">
        <w:t>and are not an artefact of the data, sample size or test procedures</w:t>
      </w:r>
      <w:r w:rsidRPr="004942E5">
        <w:t>. The mode of action indicates that fipronil should have a bimodal distribution of species sensitivity.</w:t>
      </w:r>
      <w:r w:rsidR="00F770D8" w:rsidRPr="00F770D8">
        <w:t xml:space="preserve"> </w:t>
      </w:r>
      <w:r w:rsidR="00F07FB2">
        <w:t xml:space="preserve">Although the </w:t>
      </w:r>
      <w:r w:rsidR="00F770D8">
        <w:t xml:space="preserve">other lines of evidence provide </w:t>
      </w:r>
      <w:r w:rsidR="00F07FB2">
        <w:t xml:space="preserve">somewhat equivocal results, there </w:t>
      </w:r>
      <w:r w:rsidR="005A7231">
        <w:t>is</w:t>
      </w:r>
      <w:r w:rsidR="00F07FB2">
        <w:t xml:space="preserve"> sufficient taxa-specific sensitivity to indicate bimodality of the toxicity response to fipronil. Consequently</w:t>
      </w:r>
      <w:r w:rsidR="004742C3">
        <w:t>,</w:t>
      </w:r>
      <w:r w:rsidRPr="004942E5">
        <w:t xml:space="preserve"> </w:t>
      </w:r>
      <w:r w:rsidR="00F07FB2">
        <w:t xml:space="preserve">the </w:t>
      </w:r>
      <w:r w:rsidRPr="004942E5">
        <w:t>toxicity data for the most sensitive grouping</w:t>
      </w:r>
      <w:r w:rsidR="005A7231">
        <w:t>—</w:t>
      </w:r>
      <w:r w:rsidRPr="004942E5">
        <w:t>arthropods</w:t>
      </w:r>
      <w:r w:rsidR="005A7231">
        <w:t>—</w:t>
      </w:r>
      <w:r w:rsidR="00F07FB2">
        <w:t>were</w:t>
      </w:r>
      <w:r w:rsidRPr="004942E5">
        <w:t xml:space="preserve"> used to derive the DGVs</w:t>
      </w:r>
      <w:r w:rsidR="00F07FB2">
        <w:t xml:space="preserve"> for </w:t>
      </w:r>
      <w:r w:rsidR="002D2596">
        <w:t xml:space="preserve">fipronil in </w:t>
      </w:r>
      <w:r w:rsidR="00F07FB2">
        <w:t>marine water</w:t>
      </w:r>
      <w:r w:rsidR="002069B7">
        <w:t>, as per Warne et al. (2018)</w:t>
      </w:r>
      <w:r w:rsidRPr="004942E5">
        <w:t xml:space="preserve">. </w:t>
      </w:r>
    </w:p>
    <w:p w14:paraId="1A0FEA6D" w14:textId="3CA889D7" w:rsidR="00787ECC" w:rsidRDefault="00787ECC" w:rsidP="00787ECC">
      <w:r>
        <w:br w:type="page"/>
      </w:r>
    </w:p>
    <w:p w14:paraId="2F19B554" w14:textId="6FA10F7E" w:rsidR="002104D0" w:rsidRPr="00787ECC" w:rsidRDefault="002104D0" w:rsidP="009F21F9">
      <w:pPr>
        <w:pStyle w:val="Heading2"/>
        <w:numPr>
          <w:ilvl w:val="0"/>
          <w:numId w:val="0"/>
        </w:numPr>
        <w:spacing w:after="200"/>
        <w:ind w:left="680" w:hanging="680"/>
      </w:pPr>
      <w:bookmarkStart w:id="61" w:name="_Toc205549926"/>
      <w:r w:rsidRPr="00787ECC">
        <w:lastRenderedPageBreak/>
        <w:t>References</w:t>
      </w:r>
      <w:bookmarkEnd w:id="61"/>
    </w:p>
    <w:p w14:paraId="3C1D2F12" w14:textId="77777777" w:rsidR="00907CF1" w:rsidRDefault="00907CF1" w:rsidP="00EC374D">
      <w:pPr>
        <w:spacing w:after="160"/>
      </w:pPr>
      <w:r w:rsidRPr="00091631">
        <w:t xml:space="preserve">ACVM </w:t>
      </w:r>
      <w:r>
        <w:t>(</w:t>
      </w:r>
      <w:r w:rsidRPr="00091631">
        <w:t>202</w:t>
      </w:r>
      <w:r>
        <w:t>3)</w:t>
      </w:r>
      <w:r w:rsidRPr="00091631">
        <w:t xml:space="preserve"> </w:t>
      </w:r>
      <w:hyperlink r:id="rId30" w:history="1">
        <w:r w:rsidRPr="008A4467">
          <w:rPr>
            <w:rStyle w:val="Hyperlink"/>
            <w:i/>
            <w:iCs/>
          </w:rPr>
          <w:t>Agricultural Compounds and Veterinary Medicines (ACVM) register</w:t>
        </w:r>
      </w:hyperlink>
      <w:r>
        <w:t xml:space="preserve"> </w:t>
      </w:r>
      <w:r w:rsidRPr="007825C7">
        <w:t>[website],</w:t>
      </w:r>
      <w:r w:rsidRPr="00091631">
        <w:t xml:space="preserve"> Minister for Primary Industries New Zealand</w:t>
      </w:r>
      <w:r>
        <w:t>, accessed March 2023</w:t>
      </w:r>
      <w:r w:rsidRPr="00091631">
        <w:t>.</w:t>
      </w:r>
    </w:p>
    <w:p w14:paraId="46A399AF" w14:textId="77777777" w:rsidR="00907CF1" w:rsidRDefault="00907CF1" w:rsidP="00EC374D">
      <w:pPr>
        <w:spacing w:after="160"/>
      </w:pPr>
      <w:r w:rsidRPr="00ED728C">
        <w:t xml:space="preserve">ALA (2017) </w:t>
      </w:r>
      <w:hyperlink r:id="rId31" w:history="1">
        <w:r w:rsidRPr="008A4467">
          <w:rPr>
            <w:rStyle w:val="Hyperlink"/>
            <w:i/>
            <w:iCs/>
          </w:rPr>
          <w:t>Atlas of Living Australia</w:t>
        </w:r>
      </w:hyperlink>
      <w:r>
        <w:t xml:space="preserve"> </w:t>
      </w:r>
      <w:r w:rsidRPr="00925DC3">
        <w:t>[website], National Research Infrastructure for Australia and Commonwealth Scientific and Industrial Research Organisation, accessed May 2017.</w:t>
      </w:r>
      <w:r>
        <w:t xml:space="preserve"> </w:t>
      </w:r>
    </w:p>
    <w:p w14:paraId="0D4BA7BE" w14:textId="77777777" w:rsidR="00907CF1" w:rsidRDefault="00907CF1" w:rsidP="00EC374D">
      <w:pPr>
        <w:spacing w:after="160"/>
      </w:pPr>
      <w:r>
        <w:t xml:space="preserve">Ali A, </w:t>
      </w:r>
      <w:r w:rsidRPr="00DC16A1">
        <w:t>Nayar</w:t>
      </w:r>
      <w:r>
        <w:t xml:space="preserve"> JK and </w:t>
      </w:r>
      <w:r w:rsidRPr="00DC16A1">
        <w:t>Gu</w:t>
      </w:r>
      <w:r>
        <w:t xml:space="preserve"> WD</w:t>
      </w:r>
      <w:r w:rsidRPr="00DC16A1">
        <w:t xml:space="preserve"> (1998) </w:t>
      </w:r>
      <w:r>
        <w:t>‘</w:t>
      </w:r>
      <w:r w:rsidRPr="00DC16A1">
        <w:t>Toxicity of a phenyl pyrazole insecticide, fipronil, to mosquito and chironomid midge larvae in the laboratory</w:t>
      </w:r>
      <w:r>
        <w:t>’,</w:t>
      </w:r>
      <w:r w:rsidRPr="00DC16A1">
        <w:t xml:space="preserve"> </w:t>
      </w:r>
      <w:r w:rsidRPr="00DC16A1">
        <w:rPr>
          <w:i/>
        </w:rPr>
        <w:t>Journal of the American Mosquito Control Association</w:t>
      </w:r>
      <w:r w:rsidRPr="00BC6CE9">
        <w:rPr>
          <w:iCs/>
        </w:rPr>
        <w:t xml:space="preserve">, </w:t>
      </w:r>
      <w:r>
        <w:t>14:216–218.</w:t>
      </w:r>
    </w:p>
    <w:p w14:paraId="2A6EDD58" w14:textId="77777777" w:rsidR="00907CF1" w:rsidRDefault="00907CF1" w:rsidP="00EC374D">
      <w:pPr>
        <w:spacing w:after="160"/>
      </w:pPr>
      <w:r w:rsidRPr="0057385E">
        <w:t xml:space="preserve">ANZECC/ARMCANZ (2000) </w:t>
      </w:r>
      <w:r w:rsidRPr="0057385E">
        <w:rPr>
          <w:i/>
          <w:iCs/>
        </w:rPr>
        <w:t>Australian and New Zealand guidelines for fresh and marine water quality</w:t>
      </w:r>
      <w:r w:rsidRPr="0057385E">
        <w:t>, Australian and New Zealand Environment and Conservation Council and Agriculture and Resource Management Council of Australia and New Zealand.</w:t>
      </w:r>
    </w:p>
    <w:p w14:paraId="7A2E5115" w14:textId="77777777" w:rsidR="00907CF1" w:rsidRPr="00EF541A" w:rsidRDefault="00907CF1" w:rsidP="00EC374D">
      <w:pPr>
        <w:spacing w:after="160"/>
      </w:pPr>
      <w:r w:rsidRPr="00EF541A">
        <w:t xml:space="preserve">ANZG (2018) </w:t>
      </w:r>
      <w:hyperlink r:id="rId32" w:history="1">
        <w:r w:rsidRPr="00DD4A67">
          <w:rPr>
            <w:rStyle w:val="Hyperlink"/>
            <w:i/>
            <w:iCs/>
            <w:color w:val="auto"/>
            <w:u w:val="none"/>
          </w:rPr>
          <w:t>Australian and New Zealand Guidelines for Fresh &amp; Marine Water Quality</w:t>
        </w:r>
      </w:hyperlink>
      <w:r w:rsidRPr="00EF541A">
        <w:t xml:space="preserve"> [website], Australian and New Zealand governments and Australian state and territory governments.</w:t>
      </w:r>
    </w:p>
    <w:p w14:paraId="5DE983D8" w14:textId="77777777" w:rsidR="00907CF1" w:rsidRDefault="00907CF1" w:rsidP="00EC374D">
      <w:pPr>
        <w:spacing w:after="160"/>
      </w:pPr>
      <w:r>
        <w:t>APVMA</w:t>
      </w:r>
      <w:r w:rsidRPr="00B07D64">
        <w:rPr>
          <w:rFonts w:cstheme="minorHAnsi"/>
        </w:rPr>
        <w:t xml:space="preserve"> </w:t>
      </w:r>
      <w:r>
        <w:t xml:space="preserve">(2012) </w:t>
      </w:r>
      <w:r w:rsidRPr="00E00BA0">
        <w:rPr>
          <w:i/>
          <w:iCs/>
        </w:rPr>
        <w:t>Fipronil – review scope document, part 2: environmental considerations summary</w:t>
      </w:r>
      <w:r>
        <w:t>, Australian Pesticides and Veterinary Medicines Authority, Australian Capital Territory.</w:t>
      </w:r>
    </w:p>
    <w:p w14:paraId="6273E0FD" w14:textId="56AA6931" w:rsidR="00907CF1" w:rsidRPr="00447B72" w:rsidRDefault="00907CF1" w:rsidP="00EC374D">
      <w:pPr>
        <w:spacing w:after="160"/>
        <w:rPr>
          <w:rFonts w:cstheme="minorHAnsi"/>
        </w:rPr>
      </w:pPr>
      <w:r w:rsidRPr="00EC4FA0">
        <w:rPr>
          <w:rFonts w:cstheme="minorHAnsi"/>
        </w:rPr>
        <w:t xml:space="preserve">APVMA (2020) </w:t>
      </w:r>
      <w:hyperlink r:id="rId33" w:history="1">
        <w:r w:rsidRPr="00E4668F">
          <w:rPr>
            <w:rStyle w:val="Hyperlink"/>
            <w:rFonts w:cstheme="minorHAnsi"/>
            <w:i/>
            <w:iCs/>
          </w:rPr>
          <w:t>Public Chemical Registration Information System Search (PubCRIS)</w:t>
        </w:r>
      </w:hyperlink>
      <w:r w:rsidRPr="002B4B19">
        <w:rPr>
          <w:rFonts w:cstheme="minorHAnsi"/>
          <w:i/>
          <w:iCs/>
        </w:rPr>
        <w:t xml:space="preserve"> </w:t>
      </w:r>
      <w:r w:rsidRPr="00EC4FA0">
        <w:rPr>
          <w:rFonts w:cstheme="minorHAnsi"/>
        </w:rPr>
        <w:t xml:space="preserve">[website], Australian Pesticides and Veterinary Medicines Authority, accessed </w:t>
      </w:r>
      <w:r>
        <w:rPr>
          <w:rFonts w:eastAsia="Times New Roman" w:cstheme="minorHAnsi"/>
        </w:rPr>
        <w:t>June</w:t>
      </w:r>
      <w:r w:rsidRPr="00B07D64">
        <w:rPr>
          <w:rFonts w:eastAsia="Times New Roman" w:cstheme="minorHAnsi"/>
        </w:rPr>
        <w:t xml:space="preserve"> 2020</w:t>
      </w:r>
      <w:r w:rsidRPr="00EC4FA0">
        <w:rPr>
          <w:rFonts w:cstheme="minorHAnsi"/>
        </w:rPr>
        <w:t>.</w:t>
      </w:r>
      <w:r w:rsidRPr="00EC4FA0">
        <w:t xml:space="preserve"> </w:t>
      </w:r>
    </w:p>
    <w:p w14:paraId="128B3CDA" w14:textId="77777777" w:rsidR="00907CF1" w:rsidRPr="00ED728C" w:rsidRDefault="00907CF1" w:rsidP="00EC374D">
      <w:pPr>
        <w:spacing w:after="160"/>
      </w:pPr>
      <w:r>
        <w:t>Baird S, Garrison A, Jones J, Avants J, Bringolf R and Black M (2013) ‘Enantioselective toxicity and bioaccumulation of fipronil in fathead minnows (</w:t>
      </w:r>
      <w:r w:rsidRPr="00ED728C">
        <w:rPr>
          <w:i/>
        </w:rPr>
        <w:t>Pimephales promelas</w:t>
      </w:r>
      <w:r>
        <w:t xml:space="preserve">) following water and sediment exposures’, </w:t>
      </w:r>
      <w:r w:rsidRPr="00ED728C">
        <w:rPr>
          <w:i/>
        </w:rPr>
        <w:t>Environmental Toxicology and Chemistry</w:t>
      </w:r>
      <w:r>
        <w:t>, 32:222–227.</w:t>
      </w:r>
    </w:p>
    <w:p w14:paraId="02AA431A" w14:textId="77777777" w:rsidR="00907CF1" w:rsidRPr="0019282D" w:rsidRDefault="00907CF1" w:rsidP="00EC374D">
      <w:pPr>
        <w:spacing w:after="160"/>
      </w:pPr>
      <w:r w:rsidRPr="00251C27">
        <w:t xml:space="preserve">BCPC (2012) </w:t>
      </w:r>
      <w:r w:rsidRPr="00251C27">
        <w:rPr>
          <w:i/>
          <w:iCs/>
        </w:rPr>
        <w:t>A world compendium: the pesticide manual</w:t>
      </w:r>
      <w:r w:rsidRPr="00251C27">
        <w:t>, 16th edn, MacBean C (ed), British Crop Production Council, United Kingdom.</w:t>
      </w:r>
    </w:p>
    <w:p w14:paraId="58DCEFFF" w14:textId="77777777" w:rsidR="00907CF1" w:rsidRDefault="00907CF1" w:rsidP="00EC374D">
      <w:pPr>
        <w:spacing w:after="160"/>
      </w:pPr>
      <w:r>
        <w:t xml:space="preserve">Bonmatin JM, Giorio C, Girolami V, Goulson D, Kreutzweiser DP, Krupke C, Liess M, Long E, Marzaro M, Mitchell EAD, Noome DA, Simon-Delso N and Tapparo A (2015) ‘Environmental fate and exposure; neonicotinoids and fipronil’, </w:t>
      </w:r>
      <w:r w:rsidRPr="00ED728C">
        <w:rPr>
          <w:i/>
        </w:rPr>
        <w:t>Environmental Science and Pollution Research International</w:t>
      </w:r>
      <w:r>
        <w:t xml:space="preserve">, 22(1):35–67. </w:t>
      </w:r>
    </w:p>
    <w:p w14:paraId="2EEFE248" w14:textId="77777777" w:rsidR="00907CF1" w:rsidRDefault="00907CF1" w:rsidP="00EC374D">
      <w:pPr>
        <w:spacing w:after="160"/>
        <w:rPr>
          <w:noProof/>
        </w:rPr>
      </w:pPr>
      <w:r>
        <w:rPr>
          <w:noProof/>
        </w:rPr>
        <w:t xml:space="preserve">Chandler GT, </w:t>
      </w:r>
      <w:r w:rsidRPr="004E58BA">
        <w:rPr>
          <w:noProof/>
        </w:rPr>
        <w:t>Cary</w:t>
      </w:r>
      <w:r>
        <w:rPr>
          <w:noProof/>
        </w:rPr>
        <w:t xml:space="preserve"> TL,</w:t>
      </w:r>
      <w:r w:rsidRPr="004E58BA">
        <w:rPr>
          <w:noProof/>
        </w:rPr>
        <w:t xml:space="preserve"> </w:t>
      </w:r>
      <w:r>
        <w:rPr>
          <w:noProof/>
        </w:rPr>
        <w:t>Volz DC, Walse SS, Ferry JL and Klosterhaus SL (2004) ‘Fipronil effects on estuarine copepod (</w:t>
      </w:r>
      <w:r w:rsidRPr="002922BF">
        <w:rPr>
          <w:i/>
          <w:noProof/>
        </w:rPr>
        <w:t>Amphiascus tenuiremis</w:t>
      </w:r>
      <w:r>
        <w:rPr>
          <w:noProof/>
        </w:rPr>
        <w:t xml:space="preserve">) development, fertility and reproduction: A rapid life-cycle assay in 96-well microplate format’, </w:t>
      </w:r>
      <w:r w:rsidRPr="00A64D1E">
        <w:rPr>
          <w:i/>
          <w:noProof/>
        </w:rPr>
        <w:t>Environmental Science and Technology</w:t>
      </w:r>
      <w:r>
        <w:rPr>
          <w:noProof/>
        </w:rPr>
        <w:t>, 23:117</w:t>
      </w:r>
      <w:r>
        <w:t>–</w:t>
      </w:r>
      <w:r>
        <w:rPr>
          <w:noProof/>
        </w:rPr>
        <w:t>124.</w:t>
      </w:r>
    </w:p>
    <w:p w14:paraId="43C8AA10" w14:textId="77777777" w:rsidR="00907CF1" w:rsidRDefault="00907CF1" w:rsidP="00EC374D">
      <w:pPr>
        <w:spacing w:after="160"/>
        <w:rPr>
          <w:noProof/>
        </w:rPr>
      </w:pPr>
      <w:r w:rsidRPr="00DE4E0B">
        <w:rPr>
          <w:noProof/>
        </w:rPr>
        <w:t>Chaton</w:t>
      </w:r>
      <w:r>
        <w:rPr>
          <w:noProof/>
        </w:rPr>
        <w:t xml:space="preserve"> PF, </w:t>
      </w:r>
      <w:r w:rsidRPr="00DE4E0B">
        <w:rPr>
          <w:noProof/>
        </w:rPr>
        <w:t>Ravanel</w:t>
      </w:r>
      <w:r>
        <w:rPr>
          <w:noProof/>
        </w:rPr>
        <w:t xml:space="preserve"> P, Meyran JC</w:t>
      </w:r>
      <w:r w:rsidRPr="00DE4E0B">
        <w:rPr>
          <w:noProof/>
        </w:rPr>
        <w:t xml:space="preserve"> and Tissut </w:t>
      </w:r>
      <w:r>
        <w:rPr>
          <w:noProof/>
        </w:rPr>
        <w:t xml:space="preserve">M </w:t>
      </w:r>
      <w:r w:rsidRPr="00DE4E0B">
        <w:rPr>
          <w:noProof/>
        </w:rPr>
        <w:t>(2001)</w:t>
      </w:r>
      <w:r>
        <w:rPr>
          <w:noProof/>
        </w:rPr>
        <w:t xml:space="preserve"> ‘The t</w:t>
      </w:r>
      <w:r w:rsidRPr="00DE4E0B">
        <w:rPr>
          <w:noProof/>
        </w:rPr>
        <w:t xml:space="preserve">oxicological </w:t>
      </w:r>
      <w:r>
        <w:rPr>
          <w:noProof/>
        </w:rPr>
        <w:t>e</w:t>
      </w:r>
      <w:r w:rsidRPr="00DE4E0B">
        <w:rPr>
          <w:noProof/>
        </w:rPr>
        <w:t xml:space="preserve">ffects and </w:t>
      </w:r>
      <w:r>
        <w:rPr>
          <w:noProof/>
        </w:rPr>
        <w:t>b</w:t>
      </w:r>
      <w:r w:rsidRPr="00DE4E0B">
        <w:rPr>
          <w:noProof/>
        </w:rPr>
        <w:t xml:space="preserve">ioaccumulation of </w:t>
      </w:r>
      <w:r>
        <w:rPr>
          <w:noProof/>
        </w:rPr>
        <w:t>f</w:t>
      </w:r>
      <w:r w:rsidRPr="00DE4E0B">
        <w:rPr>
          <w:noProof/>
        </w:rPr>
        <w:t xml:space="preserve">ipronil in </w:t>
      </w:r>
      <w:r>
        <w:rPr>
          <w:noProof/>
        </w:rPr>
        <w:t>l</w:t>
      </w:r>
      <w:r w:rsidRPr="00DE4E0B">
        <w:rPr>
          <w:noProof/>
        </w:rPr>
        <w:t xml:space="preserve">arvae of the </w:t>
      </w:r>
      <w:r>
        <w:rPr>
          <w:noProof/>
        </w:rPr>
        <w:t>m</w:t>
      </w:r>
      <w:r w:rsidRPr="00DE4E0B">
        <w:rPr>
          <w:noProof/>
        </w:rPr>
        <w:t xml:space="preserve">osquito </w:t>
      </w:r>
      <w:r w:rsidRPr="00DE4E0B">
        <w:rPr>
          <w:i/>
          <w:noProof/>
        </w:rPr>
        <w:t>Aedes aegypti</w:t>
      </w:r>
      <w:r w:rsidRPr="00DE4E0B">
        <w:rPr>
          <w:noProof/>
        </w:rPr>
        <w:t xml:space="preserve"> in </w:t>
      </w:r>
      <w:r>
        <w:rPr>
          <w:noProof/>
        </w:rPr>
        <w:t>a</w:t>
      </w:r>
      <w:r w:rsidRPr="00DE4E0B">
        <w:rPr>
          <w:noProof/>
        </w:rPr>
        <w:t xml:space="preserve">queous </w:t>
      </w:r>
      <w:r>
        <w:rPr>
          <w:noProof/>
        </w:rPr>
        <w:t xml:space="preserve">medium’, </w:t>
      </w:r>
      <w:r w:rsidRPr="00481B62">
        <w:rPr>
          <w:i/>
          <w:noProof/>
        </w:rPr>
        <w:t>Pesticide Biochemisty and Physiology</w:t>
      </w:r>
      <w:r>
        <w:rPr>
          <w:noProof/>
        </w:rPr>
        <w:t>, 69:</w:t>
      </w:r>
      <w:r w:rsidRPr="00DE4E0B">
        <w:rPr>
          <w:noProof/>
        </w:rPr>
        <w:t>183</w:t>
      </w:r>
      <w:r>
        <w:t>–</w:t>
      </w:r>
      <w:r w:rsidRPr="00DE4E0B">
        <w:rPr>
          <w:noProof/>
        </w:rPr>
        <w:t>188</w:t>
      </w:r>
      <w:r>
        <w:rPr>
          <w:noProof/>
        </w:rPr>
        <w:t>.</w:t>
      </w:r>
    </w:p>
    <w:p w14:paraId="043113B7" w14:textId="77777777" w:rsidR="00907CF1" w:rsidRDefault="00907CF1" w:rsidP="00EC374D">
      <w:pPr>
        <w:spacing w:after="160"/>
        <w:rPr>
          <w:noProof/>
        </w:rPr>
      </w:pPr>
      <w:r>
        <w:rPr>
          <w:noProof/>
        </w:rPr>
        <w:t xml:space="preserve">Chaton PF, </w:t>
      </w:r>
      <w:r w:rsidRPr="00DF5DCB">
        <w:rPr>
          <w:noProof/>
        </w:rPr>
        <w:t>Ravanel</w:t>
      </w:r>
      <w:r>
        <w:rPr>
          <w:noProof/>
        </w:rPr>
        <w:t xml:space="preserve"> P, </w:t>
      </w:r>
      <w:r w:rsidRPr="00DF5DCB">
        <w:rPr>
          <w:noProof/>
        </w:rPr>
        <w:t>Tissut</w:t>
      </w:r>
      <w:r>
        <w:rPr>
          <w:noProof/>
        </w:rPr>
        <w:t xml:space="preserve"> M and </w:t>
      </w:r>
      <w:r w:rsidRPr="00DF5DCB">
        <w:rPr>
          <w:noProof/>
        </w:rPr>
        <w:t>Meyran</w:t>
      </w:r>
      <w:r>
        <w:rPr>
          <w:noProof/>
        </w:rPr>
        <w:t xml:space="preserve"> JC</w:t>
      </w:r>
      <w:r w:rsidRPr="00DF5DCB">
        <w:rPr>
          <w:noProof/>
        </w:rPr>
        <w:t xml:space="preserve"> (2002) </w:t>
      </w:r>
      <w:r>
        <w:rPr>
          <w:noProof/>
        </w:rPr>
        <w:t>‘</w:t>
      </w:r>
      <w:r w:rsidRPr="00DF5DCB">
        <w:rPr>
          <w:noProof/>
        </w:rPr>
        <w:t>Toxicity and bioaccumulation of fipronil in the nontarget arthropodan fauna associated with subalpine mosquito breeding sites</w:t>
      </w:r>
      <w:r>
        <w:rPr>
          <w:noProof/>
        </w:rPr>
        <w:t xml:space="preserve">’, </w:t>
      </w:r>
      <w:r w:rsidRPr="00DF5DCB">
        <w:rPr>
          <w:i/>
          <w:noProof/>
        </w:rPr>
        <w:t>Ecotoxicology and Environmental Safety</w:t>
      </w:r>
      <w:r>
        <w:rPr>
          <w:noProof/>
        </w:rPr>
        <w:t>, 52:</w:t>
      </w:r>
      <w:r w:rsidRPr="00DF5DCB">
        <w:rPr>
          <w:noProof/>
        </w:rPr>
        <w:t>8</w:t>
      </w:r>
      <w:r>
        <w:t>–</w:t>
      </w:r>
      <w:r w:rsidRPr="00DF5DCB">
        <w:rPr>
          <w:noProof/>
        </w:rPr>
        <w:t>12</w:t>
      </w:r>
      <w:r>
        <w:rPr>
          <w:noProof/>
        </w:rPr>
        <w:t>.</w:t>
      </w:r>
    </w:p>
    <w:p w14:paraId="69CDF62C" w14:textId="77777777" w:rsidR="00907CF1" w:rsidRDefault="00907CF1" w:rsidP="00EC374D">
      <w:pPr>
        <w:spacing w:after="160"/>
        <w:rPr>
          <w:noProof/>
        </w:rPr>
      </w:pPr>
      <w:r>
        <w:rPr>
          <w:noProof/>
        </w:rPr>
        <w:lastRenderedPageBreak/>
        <w:t xml:space="preserve">DAF (2024) </w:t>
      </w:r>
      <w:hyperlink r:id="rId34" w:history="1">
        <w:r w:rsidRPr="00E4668F">
          <w:rPr>
            <w:rStyle w:val="Hyperlink"/>
            <w:i/>
            <w:iCs/>
            <w:noProof/>
          </w:rPr>
          <w:t>National Fire Ant Eradication Program. Treating fire ant nests</w:t>
        </w:r>
      </w:hyperlink>
      <w:r>
        <w:rPr>
          <w:noProof/>
        </w:rPr>
        <w:t xml:space="preserve"> [website], Department of Agriculture and Fisheries,</w:t>
      </w:r>
      <w:r w:rsidRPr="00AD5CB2">
        <w:rPr>
          <w:noProof/>
        </w:rPr>
        <w:t xml:space="preserve"> </w:t>
      </w:r>
      <w:r>
        <w:rPr>
          <w:noProof/>
        </w:rPr>
        <w:t xml:space="preserve">accessed April 2024. </w:t>
      </w:r>
    </w:p>
    <w:p w14:paraId="1D69D3A6" w14:textId="77777777" w:rsidR="00907CF1" w:rsidRPr="002B64A5" w:rsidRDefault="00907CF1" w:rsidP="00EC374D">
      <w:pPr>
        <w:spacing w:after="160"/>
      </w:pPr>
      <w:r w:rsidRPr="002B4B19">
        <w:t xml:space="preserve">Guiry MD and Guiry GM (2017) </w:t>
      </w:r>
      <w:hyperlink r:id="rId35" w:history="1">
        <w:r w:rsidRPr="009C79A9">
          <w:rPr>
            <w:rStyle w:val="Hyperlink"/>
            <w:i/>
            <w:iCs/>
          </w:rPr>
          <w:t>AlgaeBase</w:t>
        </w:r>
      </w:hyperlink>
      <w:r w:rsidRPr="002B4B19">
        <w:t xml:space="preserve"> [online database], University of Galway, accessed May 2017.</w:t>
      </w:r>
    </w:p>
    <w:p w14:paraId="7FE93CBA" w14:textId="77777777" w:rsidR="00907CF1" w:rsidRDefault="00907CF1" w:rsidP="00EC374D">
      <w:pPr>
        <w:spacing w:after="160"/>
      </w:pPr>
      <w:r>
        <w:t xml:space="preserve">Gunasekara AS, Truong T, Goh KS, Spurlock F and Tjeerdema RS (2007) ‘Environmental fate and toxicology of fipronil’, </w:t>
      </w:r>
      <w:r w:rsidRPr="00ED728C">
        <w:rPr>
          <w:i/>
        </w:rPr>
        <w:t>Journal of Pesticide Science</w:t>
      </w:r>
      <w:r w:rsidRPr="00D95F85">
        <w:t xml:space="preserve">, </w:t>
      </w:r>
      <w:r>
        <w:t>32:189</w:t>
      </w:r>
      <w:r w:rsidRPr="0019282D">
        <w:t>–</w:t>
      </w:r>
      <w:r>
        <w:t>199.</w:t>
      </w:r>
    </w:p>
    <w:p w14:paraId="31CB98F8" w14:textId="77777777" w:rsidR="00907CF1" w:rsidRPr="002B64A5" w:rsidRDefault="00907CF1" w:rsidP="00EC374D">
      <w:pPr>
        <w:spacing w:after="160"/>
      </w:pPr>
      <w:r w:rsidRPr="00903B54">
        <w:t xml:space="preserve">ITIS (2017) </w:t>
      </w:r>
      <w:hyperlink r:id="rId36" w:history="1">
        <w:r w:rsidRPr="00301B70">
          <w:rPr>
            <w:rStyle w:val="Hyperlink"/>
            <w:i/>
            <w:iCs/>
          </w:rPr>
          <w:t>Integrated Taxonomic Information System</w:t>
        </w:r>
      </w:hyperlink>
      <w:r w:rsidRPr="00903B54">
        <w:t xml:space="preserve"> [online database], accessed May 2017.</w:t>
      </w:r>
      <w:r>
        <w:t xml:space="preserve"> </w:t>
      </w:r>
    </w:p>
    <w:p w14:paraId="6AB81D0F" w14:textId="77777777" w:rsidR="00907CF1" w:rsidRPr="0019282D" w:rsidRDefault="00907CF1" w:rsidP="00EC374D">
      <w:pPr>
        <w:spacing w:after="160"/>
      </w:pPr>
      <w:r>
        <w:t xml:space="preserve">Kessler E and Huss VAR (1992) ‘Comparative physiology and biochemistry and taxonomic assignment of the </w:t>
      </w:r>
      <w:r w:rsidRPr="00ED728C">
        <w:rPr>
          <w:i/>
        </w:rPr>
        <w:t>Chlorella</w:t>
      </w:r>
      <w:r>
        <w:t xml:space="preserve"> (Chlorophyceae) strains of the culture collection of the University of Texas at Austin’, </w:t>
      </w:r>
      <w:r w:rsidRPr="00ED728C">
        <w:rPr>
          <w:i/>
        </w:rPr>
        <w:t>Journal of Phycology</w:t>
      </w:r>
      <w:r>
        <w:t>, 28:550</w:t>
      </w:r>
      <w:r w:rsidRPr="00FF3A8E">
        <w:t>–</w:t>
      </w:r>
      <w:r>
        <w:t>553.</w:t>
      </w:r>
    </w:p>
    <w:p w14:paraId="343FC6C8" w14:textId="77777777" w:rsidR="00907CF1" w:rsidRDefault="00907CF1" w:rsidP="00EC374D">
      <w:pPr>
        <w:spacing w:after="160"/>
      </w:pPr>
      <w:r>
        <w:t xml:space="preserve">Konwick BJ, Fisk AT, Garrisson AW, Avants JK and Black MC (2005) ‘Acute enantioselective toxicity of fipronil and its desulfinyl photoproduct to </w:t>
      </w:r>
      <w:r w:rsidRPr="00ED728C">
        <w:rPr>
          <w:i/>
        </w:rPr>
        <w:t>Ceridaphnia dubia</w:t>
      </w:r>
      <w:r w:rsidRPr="00160AEC">
        <w:rPr>
          <w:iCs/>
        </w:rPr>
        <w:t>’,</w:t>
      </w:r>
      <w:r>
        <w:t xml:space="preserve"> </w:t>
      </w:r>
      <w:r w:rsidRPr="00ED728C">
        <w:rPr>
          <w:i/>
        </w:rPr>
        <w:t>Environmental Toxicology and Chemistry</w:t>
      </w:r>
      <w:r>
        <w:t>, 24(9):2350</w:t>
      </w:r>
      <w:r w:rsidRPr="0019282D">
        <w:t>–</w:t>
      </w:r>
      <w:r>
        <w:t>2355.</w:t>
      </w:r>
    </w:p>
    <w:p w14:paraId="0DB9A394" w14:textId="77777777" w:rsidR="00907CF1" w:rsidRDefault="00907CF1" w:rsidP="00EC374D">
      <w:pPr>
        <w:spacing w:after="160"/>
      </w:pPr>
      <w:r>
        <w:t xml:space="preserve">Narahashi T, Zhao X, Ikeda T, Salgado VL and Yeh JZ (2010) ‘Glutamate-activated chloride channels: Unique fipronil </w:t>
      </w:r>
      <w:r w:rsidRPr="00ED728C">
        <w:t>targets</w:t>
      </w:r>
      <w:r>
        <w:t xml:space="preserve"> present in insects but not in mammals’, </w:t>
      </w:r>
      <w:r w:rsidRPr="00ED728C">
        <w:rPr>
          <w:i/>
        </w:rPr>
        <w:t>Pesticide Biochemistry and Physiology</w:t>
      </w:r>
      <w:r w:rsidRPr="00910D30">
        <w:t>,</w:t>
      </w:r>
      <w:r>
        <w:t xml:space="preserve"> 97(2):149</w:t>
      </w:r>
      <w:r w:rsidRPr="0019282D">
        <w:t>–</w:t>
      </w:r>
      <w:r>
        <w:t>152.</w:t>
      </w:r>
    </w:p>
    <w:p w14:paraId="25C50BBB" w14:textId="77777777" w:rsidR="00907CF1" w:rsidRPr="0012271B" w:rsidRDefault="00907CF1" w:rsidP="00EC374D">
      <w:pPr>
        <w:spacing w:after="160"/>
      </w:pPr>
      <w:r w:rsidRPr="00422C18">
        <w:t>Negri</w:t>
      </w:r>
      <w:r>
        <w:t xml:space="preserve"> AP, </w:t>
      </w:r>
      <w:r w:rsidRPr="00422C18">
        <w:t>Templeman</w:t>
      </w:r>
      <w:r>
        <w:t xml:space="preserve"> S, </w:t>
      </w:r>
      <w:r w:rsidRPr="00422C18">
        <w:t>Flores</w:t>
      </w:r>
      <w:r>
        <w:t xml:space="preserve"> F, </w:t>
      </w:r>
      <w:r w:rsidRPr="00422C18">
        <w:t>van Dam</w:t>
      </w:r>
      <w:r>
        <w:t xml:space="preserve"> J,</w:t>
      </w:r>
      <w:r w:rsidRPr="00422C18">
        <w:t xml:space="preserve"> Thomas</w:t>
      </w:r>
      <w:r>
        <w:t xml:space="preserve"> M,</w:t>
      </w:r>
      <w:r w:rsidRPr="00422C18">
        <w:t xml:space="preserve"> McKenzie</w:t>
      </w:r>
      <w:r>
        <w:t xml:space="preserve"> M,</w:t>
      </w:r>
      <w:r w:rsidRPr="00422C18">
        <w:t xml:space="preserve"> Stapp</w:t>
      </w:r>
      <w:r>
        <w:t xml:space="preserve"> L, </w:t>
      </w:r>
      <w:r w:rsidRPr="00422C18">
        <w:t>Kaserzon</w:t>
      </w:r>
      <w:r>
        <w:t xml:space="preserve"> S,</w:t>
      </w:r>
      <w:r w:rsidRPr="00422C18">
        <w:t xml:space="preserve"> Mann</w:t>
      </w:r>
      <w:r>
        <w:t xml:space="preserve"> RM, </w:t>
      </w:r>
      <w:r w:rsidRPr="00422C18">
        <w:t>Smith</w:t>
      </w:r>
      <w:r>
        <w:t xml:space="preserve"> R,</w:t>
      </w:r>
      <w:r w:rsidRPr="00422C18">
        <w:t xml:space="preserve"> Warne</w:t>
      </w:r>
      <w:r>
        <w:t xml:space="preserve"> MStJ</w:t>
      </w:r>
      <w:r w:rsidRPr="00422C18">
        <w:t xml:space="preserve"> and Mueller</w:t>
      </w:r>
      <w:r>
        <w:t xml:space="preserve"> J </w:t>
      </w:r>
      <w:r w:rsidRPr="00422C18">
        <w:t xml:space="preserve">(2020) </w:t>
      </w:r>
      <w:r w:rsidRPr="00A1116A">
        <w:rPr>
          <w:i/>
          <w:iCs/>
        </w:rPr>
        <w:t>Ecotoxicology of pesticides on the Great Barrier Reef for guideline development and risk assessments</w:t>
      </w:r>
      <w:r>
        <w:t>,</w:t>
      </w:r>
      <w:r w:rsidRPr="00422C18">
        <w:t xml:space="preserve"> </w:t>
      </w:r>
      <w:r>
        <w:t>f</w:t>
      </w:r>
      <w:r w:rsidRPr="00422C18">
        <w:t>inal report to the National Environmental Science Program</w:t>
      </w:r>
      <w:r>
        <w:t>,</w:t>
      </w:r>
      <w:r w:rsidRPr="00422C18">
        <w:t xml:space="preserve"> Reef and Rainforest Research Centre Limited, Cairns</w:t>
      </w:r>
      <w:r>
        <w:t>.</w:t>
      </w:r>
    </w:p>
    <w:p w14:paraId="135FC9CC" w14:textId="77777777" w:rsidR="00907CF1" w:rsidRDefault="00907CF1" w:rsidP="00EC374D">
      <w:pPr>
        <w:spacing w:after="160"/>
      </w:pPr>
      <w:r>
        <w:t>Overmyer JP,</w:t>
      </w:r>
      <w:r w:rsidRPr="00944D1B">
        <w:t xml:space="preserve"> Mason</w:t>
      </w:r>
      <w:r>
        <w:t xml:space="preserve"> BN and </w:t>
      </w:r>
      <w:r w:rsidRPr="00944D1B">
        <w:t xml:space="preserve">Armbrust </w:t>
      </w:r>
      <w:r>
        <w:t xml:space="preserve">KL </w:t>
      </w:r>
      <w:r w:rsidRPr="00944D1B">
        <w:t xml:space="preserve">(2005) </w:t>
      </w:r>
      <w:r>
        <w:t>‘</w:t>
      </w:r>
      <w:r w:rsidRPr="00944D1B">
        <w:t xml:space="preserve">Acute toxicity of imidacloprid and fipronil to a nontarget aquatic insect, </w:t>
      </w:r>
      <w:r w:rsidRPr="00944D1B">
        <w:rPr>
          <w:i/>
        </w:rPr>
        <w:t>Simulium vittatum</w:t>
      </w:r>
      <w:r w:rsidRPr="00944D1B">
        <w:t xml:space="preserve"> Zetterstedt </w:t>
      </w:r>
      <w:r>
        <w:t>C</w:t>
      </w:r>
      <w:r w:rsidRPr="00944D1B">
        <w:t>ytospecies IS-7</w:t>
      </w:r>
      <w:r>
        <w:t xml:space="preserve">’, </w:t>
      </w:r>
      <w:r w:rsidRPr="004876E5">
        <w:rPr>
          <w:i/>
        </w:rPr>
        <w:t>Bulletin of Environmental Contamination and Toxicology</w:t>
      </w:r>
      <w:r>
        <w:t>, 74:</w:t>
      </w:r>
      <w:r w:rsidRPr="00944D1B">
        <w:t>872</w:t>
      </w:r>
      <w:r>
        <w:t>–</w:t>
      </w:r>
      <w:r w:rsidRPr="00944D1B">
        <w:t>879</w:t>
      </w:r>
      <w:r>
        <w:t>.</w:t>
      </w:r>
    </w:p>
    <w:p w14:paraId="5CCD47D0" w14:textId="77777777" w:rsidR="00907CF1" w:rsidRDefault="00907CF1" w:rsidP="00EC374D">
      <w:pPr>
        <w:spacing w:after="160"/>
      </w:pPr>
      <w:r>
        <w:t xml:space="preserve">Overmyer JP, </w:t>
      </w:r>
      <w:r w:rsidRPr="004876E5">
        <w:t>Rouse</w:t>
      </w:r>
      <w:r>
        <w:t xml:space="preserve"> DR</w:t>
      </w:r>
      <w:r w:rsidRPr="004876E5">
        <w:t>, Avants</w:t>
      </w:r>
      <w:r>
        <w:t xml:space="preserve"> JK</w:t>
      </w:r>
      <w:r w:rsidRPr="004876E5">
        <w:t>, Garrison</w:t>
      </w:r>
      <w:r>
        <w:t xml:space="preserve"> AW</w:t>
      </w:r>
      <w:r w:rsidRPr="004876E5">
        <w:t>, DeLorenzo</w:t>
      </w:r>
      <w:r>
        <w:t xml:space="preserve"> ME</w:t>
      </w:r>
      <w:r w:rsidRPr="004876E5">
        <w:t>, Chung</w:t>
      </w:r>
      <w:r>
        <w:t xml:space="preserve"> KW</w:t>
      </w:r>
      <w:r w:rsidRPr="004876E5">
        <w:t>, Key</w:t>
      </w:r>
      <w:r>
        <w:t xml:space="preserve"> PB</w:t>
      </w:r>
      <w:r w:rsidRPr="004876E5">
        <w:t>, Wilson</w:t>
      </w:r>
      <w:r>
        <w:t xml:space="preserve"> WA</w:t>
      </w:r>
      <w:r w:rsidRPr="004876E5">
        <w:t xml:space="preserve"> and Black </w:t>
      </w:r>
      <w:r>
        <w:t xml:space="preserve">MC </w:t>
      </w:r>
      <w:r w:rsidRPr="004876E5">
        <w:t xml:space="preserve">(2007) </w:t>
      </w:r>
      <w:r>
        <w:t>‘</w:t>
      </w:r>
      <w:r w:rsidRPr="004876E5">
        <w:t>Toxicity of fipronil and its enantiomers to ma</w:t>
      </w:r>
      <w:r>
        <w:t xml:space="preserve">rine and freshwater non-targets’, </w:t>
      </w:r>
      <w:r w:rsidRPr="004876E5">
        <w:rPr>
          <w:i/>
        </w:rPr>
        <w:t>Journal of Environmental Science and Health, Part B: Pesticides, Food Contamination and Agricultural Wastes</w:t>
      </w:r>
      <w:r>
        <w:t>, 42:471–</w:t>
      </w:r>
      <w:r w:rsidRPr="004876E5">
        <w:t>480.</w:t>
      </w:r>
    </w:p>
    <w:p w14:paraId="4A48D2F3" w14:textId="77777777" w:rsidR="00907CF1" w:rsidRDefault="00907CF1" w:rsidP="00EC374D">
      <w:pPr>
        <w:spacing w:after="160"/>
        <w:rPr>
          <w:rFonts w:cstheme="minorHAnsi"/>
          <w:color w:val="000000"/>
          <w:lang w:val="en-GB"/>
        </w:rPr>
      </w:pPr>
      <w:r w:rsidRPr="00F625E0">
        <w:rPr>
          <w:rFonts w:cstheme="minorHAnsi"/>
          <w:color w:val="000000"/>
          <w:lang w:val="en-GB"/>
        </w:rPr>
        <w:t>Qu</w:t>
      </w:r>
      <w:r>
        <w:rPr>
          <w:rFonts w:cstheme="minorHAnsi"/>
          <w:color w:val="000000"/>
          <w:lang w:val="en-GB"/>
        </w:rPr>
        <w:t xml:space="preserve"> H,</w:t>
      </w:r>
      <w:r w:rsidRPr="00F625E0">
        <w:rPr>
          <w:rFonts w:cstheme="minorHAnsi"/>
          <w:color w:val="000000"/>
          <w:lang w:val="en-GB"/>
        </w:rPr>
        <w:t xml:space="preserve"> Ma</w:t>
      </w:r>
      <w:r>
        <w:rPr>
          <w:rFonts w:cstheme="minorHAnsi"/>
          <w:color w:val="000000"/>
          <w:lang w:val="en-GB"/>
        </w:rPr>
        <w:t xml:space="preserve"> RX</w:t>
      </w:r>
      <w:r w:rsidRPr="00F625E0">
        <w:rPr>
          <w:rFonts w:cstheme="minorHAnsi"/>
          <w:color w:val="000000"/>
          <w:lang w:val="en-GB"/>
        </w:rPr>
        <w:t xml:space="preserve">, </w:t>
      </w:r>
      <w:r>
        <w:rPr>
          <w:rFonts w:cstheme="minorHAnsi"/>
          <w:color w:val="000000"/>
          <w:lang w:val="en-GB"/>
        </w:rPr>
        <w:t>L</w:t>
      </w:r>
      <w:r w:rsidRPr="00F625E0">
        <w:rPr>
          <w:rFonts w:cstheme="minorHAnsi"/>
          <w:color w:val="000000"/>
          <w:lang w:val="en-GB"/>
        </w:rPr>
        <w:t>iu</w:t>
      </w:r>
      <w:r>
        <w:rPr>
          <w:rFonts w:cstheme="minorHAnsi"/>
          <w:color w:val="000000"/>
          <w:lang w:val="en-GB"/>
        </w:rPr>
        <w:t xml:space="preserve"> DH</w:t>
      </w:r>
      <w:r w:rsidRPr="00F625E0">
        <w:rPr>
          <w:rFonts w:cstheme="minorHAnsi"/>
          <w:color w:val="000000"/>
          <w:lang w:val="en-GB"/>
        </w:rPr>
        <w:t>, Wang</w:t>
      </w:r>
      <w:r>
        <w:rPr>
          <w:rFonts w:cstheme="minorHAnsi"/>
          <w:color w:val="000000"/>
          <w:lang w:val="en-GB"/>
        </w:rPr>
        <w:t xml:space="preserve"> P</w:t>
      </w:r>
      <w:r w:rsidRPr="00F625E0">
        <w:rPr>
          <w:rFonts w:cstheme="minorHAnsi"/>
          <w:color w:val="000000"/>
          <w:lang w:val="en-GB"/>
        </w:rPr>
        <w:t>, Huang</w:t>
      </w:r>
      <w:r>
        <w:rPr>
          <w:rFonts w:cstheme="minorHAnsi"/>
          <w:color w:val="000000"/>
          <w:lang w:val="en-GB"/>
        </w:rPr>
        <w:t xml:space="preserve"> LD</w:t>
      </w:r>
      <w:r w:rsidRPr="00F625E0">
        <w:rPr>
          <w:rFonts w:cstheme="minorHAnsi"/>
          <w:color w:val="000000"/>
          <w:lang w:val="en-GB"/>
        </w:rPr>
        <w:t>, Qiu</w:t>
      </w:r>
      <w:r>
        <w:rPr>
          <w:rFonts w:cstheme="minorHAnsi"/>
          <w:color w:val="000000"/>
          <w:lang w:val="en-GB"/>
        </w:rPr>
        <w:t xml:space="preserve"> XX and</w:t>
      </w:r>
      <w:r w:rsidRPr="00F625E0">
        <w:rPr>
          <w:rFonts w:cstheme="minorHAnsi"/>
          <w:color w:val="000000"/>
          <w:lang w:val="en-GB"/>
        </w:rPr>
        <w:t xml:space="preserve"> Zhou </w:t>
      </w:r>
      <w:r>
        <w:rPr>
          <w:rFonts w:cstheme="minorHAnsi"/>
          <w:color w:val="000000"/>
          <w:lang w:val="en-GB"/>
        </w:rPr>
        <w:t xml:space="preserve">ZQ </w:t>
      </w:r>
      <w:r w:rsidRPr="00F625E0">
        <w:rPr>
          <w:rFonts w:cstheme="minorHAnsi"/>
          <w:color w:val="000000"/>
          <w:lang w:val="en-GB"/>
        </w:rPr>
        <w:t xml:space="preserve">(2014) </w:t>
      </w:r>
      <w:r>
        <w:rPr>
          <w:rFonts w:cstheme="minorHAnsi"/>
          <w:color w:val="000000"/>
          <w:lang w:val="en-GB"/>
        </w:rPr>
        <w:t>‘</w:t>
      </w:r>
      <w:r w:rsidRPr="00F625E0">
        <w:rPr>
          <w:rFonts w:cstheme="minorHAnsi"/>
          <w:color w:val="000000"/>
          <w:lang w:val="en-GB"/>
        </w:rPr>
        <w:t xml:space="preserve">Enantioselective </w:t>
      </w:r>
      <w:r>
        <w:rPr>
          <w:rFonts w:cstheme="minorHAnsi"/>
          <w:color w:val="000000"/>
          <w:lang w:val="en-GB"/>
        </w:rPr>
        <w:t>t</w:t>
      </w:r>
      <w:r w:rsidRPr="00F625E0">
        <w:rPr>
          <w:rFonts w:cstheme="minorHAnsi"/>
          <w:color w:val="000000"/>
          <w:lang w:val="en-GB"/>
        </w:rPr>
        <w:t xml:space="preserve">oxicity and </w:t>
      </w:r>
      <w:r>
        <w:rPr>
          <w:rFonts w:cstheme="minorHAnsi"/>
          <w:color w:val="000000"/>
          <w:lang w:val="en-GB"/>
        </w:rPr>
        <w:t>d</w:t>
      </w:r>
      <w:r w:rsidRPr="00F625E0">
        <w:rPr>
          <w:rFonts w:cstheme="minorHAnsi"/>
          <w:color w:val="000000"/>
          <w:lang w:val="en-GB"/>
        </w:rPr>
        <w:t xml:space="preserve">egradation of the </w:t>
      </w:r>
      <w:r>
        <w:rPr>
          <w:rFonts w:cstheme="minorHAnsi"/>
          <w:color w:val="000000"/>
          <w:lang w:val="en-GB"/>
        </w:rPr>
        <w:t>c</w:t>
      </w:r>
      <w:r w:rsidRPr="00F625E0">
        <w:rPr>
          <w:rFonts w:cstheme="minorHAnsi"/>
          <w:color w:val="000000"/>
          <w:lang w:val="en-GB"/>
        </w:rPr>
        <w:t xml:space="preserve">hiral </w:t>
      </w:r>
      <w:r>
        <w:rPr>
          <w:rFonts w:cstheme="minorHAnsi"/>
          <w:color w:val="000000"/>
          <w:lang w:val="en-GB"/>
        </w:rPr>
        <w:t>i</w:t>
      </w:r>
      <w:r w:rsidRPr="00F625E0">
        <w:rPr>
          <w:rFonts w:cstheme="minorHAnsi"/>
          <w:color w:val="000000"/>
          <w:lang w:val="en-GB"/>
        </w:rPr>
        <w:t xml:space="preserve">nsecticide </w:t>
      </w:r>
      <w:r>
        <w:rPr>
          <w:rFonts w:cstheme="minorHAnsi"/>
          <w:color w:val="000000"/>
          <w:lang w:val="en-GB"/>
        </w:rPr>
        <w:t>f</w:t>
      </w:r>
      <w:r w:rsidRPr="00F625E0">
        <w:rPr>
          <w:rFonts w:cstheme="minorHAnsi"/>
          <w:color w:val="000000"/>
          <w:lang w:val="en-GB"/>
        </w:rPr>
        <w:t xml:space="preserve">ipronil in </w:t>
      </w:r>
      <w:r w:rsidRPr="00560B8A">
        <w:rPr>
          <w:rFonts w:cstheme="minorHAnsi"/>
          <w:i/>
          <w:iCs/>
          <w:color w:val="000000"/>
          <w:lang w:val="en-GB"/>
        </w:rPr>
        <w:t>Scenedesmus obliguus</w:t>
      </w:r>
      <w:r w:rsidRPr="00F625E0">
        <w:rPr>
          <w:rFonts w:cstheme="minorHAnsi"/>
          <w:color w:val="000000"/>
          <w:lang w:val="en-GB"/>
        </w:rPr>
        <w:t xml:space="preserve"> </w:t>
      </w:r>
      <w:r>
        <w:rPr>
          <w:rFonts w:cstheme="minorHAnsi"/>
          <w:color w:val="000000"/>
          <w:lang w:val="en-GB"/>
        </w:rPr>
        <w:t>s</w:t>
      </w:r>
      <w:r w:rsidRPr="00F625E0">
        <w:rPr>
          <w:rFonts w:cstheme="minorHAnsi"/>
          <w:color w:val="000000"/>
          <w:lang w:val="en-GB"/>
        </w:rPr>
        <w:t xml:space="preserve">uspension </w:t>
      </w:r>
      <w:r>
        <w:rPr>
          <w:rFonts w:cstheme="minorHAnsi"/>
          <w:color w:val="000000"/>
          <w:lang w:val="en-GB"/>
        </w:rPr>
        <w:t>s</w:t>
      </w:r>
      <w:r w:rsidRPr="00F625E0">
        <w:rPr>
          <w:rFonts w:cstheme="minorHAnsi"/>
          <w:color w:val="000000"/>
          <w:lang w:val="en-GB"/>
        </w:rPr>
        <w:t>ystem</w:t>
      </w:r>
      <w:r>
        <w:rPr>
          <w:rFonts w:cstheme="minorHAnsi"/>
          <w:color w:val="000000"/>
          <w:lang w:val="en-GB"/>
        </w:rPr>
        <w:t xml:space="preserve">’, </w:t>
      </w:r>
      <w:r w:rsidRPr="00560B8A">
        <w:rPr>
          <w:rFonts w:cstheme="minorHAnsi"/>
          <w:i/>
          <w:iCs/>
          <w:color w:val="000000"/>
          <w:lang w:val="en-GB"/>
        </w:rPr>
        <w:t>Environmental Toxicology and Chemistry</w:t>
      </w:r>
      <w:r>
        <w:rPr>
          <w:rFonts w:cstheme="minorHAnsi"/>
          <w:color w:val="000000"/>
          <w:lang w:val="en-GB"/>
        </w:rPr>
        <w:t>, 33:</w:t>
      </w:r>
      <w:r w:rsidRPr="00F625E0">
        <w:rPr>
          <w:rFonts w:cstheme="minorHAnsi"/>
          <w:color w:val="000000"/>
          <w:lang w:val="en-GB"/>
        </w:rPr>
        <w:t>2516</w:t>
      </w:r>
      <w:r>
        <w:rPr>
          <w:rFonts w:cstheme="minorHAnsi"/>
          <w:color w:val="000000"/>
          <w:lang w:val="en-GB"/>
        </w:rPr>
        <w:t>–</w:t>
      </w:r>
      <w:r w:rsidRPr="00F625E0">
        <w:rPr>
          <w:rFonts w:cstheme="minorHAnsi"/>
          <w:color w:val="000000"/>
          <w:lang w:val="en-GB"/>
        </w:rPr>
        <w:t>2521</w:t>
      </w:r>
      <w:r>
        <w:rPr>
          <w:rFonts w:cstheme="minorHAnsi"/>
          <w:color w:val="000000"/>
          <w:lang w:val="en-GB"/>
        </w:rPr>
        <w:t>.</w:t>
      </w:r>
    </w:p>
    <w:p w14:paraId="66D18CB1" w14:textId="77777777" w:rsidR="00907CF1" w:rsidRPr="002B64A5" w:rsidRDefault="00907CF1" w:rsidP="00EC374D">
      <w:pPr>
        <w:spacing w:after="160"/>
      </w:pPr>
      <w:r w:rsidRPr="00BF77E3">
        <w:rPr>
          <w:rFonts w:cstheme="minorHAnsi"/>
          <w:color w:val="000000"/>
          <w:lang w:val="en-GB"/>
        </w:rPr>
        <w:t xml:space="preserve">Roskov Y, Abucay L, Orrell T, Nicolson D, Bailly N, Kirk PM, Bourgoin T, DeWalt RE, Decock W, De Wever A, Nieukerken E, Zarucchi J and Penev L (eds) (2017) </w:t>
      </w:r>
      <w:hyperlink r:id="rId37" w:history="1">
        <w:r w:rsidRPr="00301B70">
          <w:rPr>
            <w:rStyle w:val="Hyperlink"/>
            <w:rFonts w:cstheme="minorHAnsi"/>
            <w:i/>
            <w:iCs/>
            <w:lang w:val="en-GB"/>
          </w:rPr>
          <w:t>Species 2000 &amp; ITIS catalogue of life</w:t>
        </w:r>
      </w:hyperlink>
      <w:r>
        <w:rPr>
          <w:rFonts w:cstheme="minorHAnsi"/>
          <w:i/>
          <w:iCs/>
          <w:color w:val="000000"/>
          <w:lang w:val="en-GB"/>
        </w:rPr>
        <w:t xml:space="preserve"> </w:t>
      </w:r>
      <w:r w:rsidRPr="00903B54">
        <w:t>[online database]</w:t>
      </w:r>
      <w:r w:rsidRPr="00BF77E3">
        <w:rPr>
          <w:rFonts w:cstheme="minorHAnsi"/>
          <w:color w:val="000000"/>
          <w:lang w:val="en-GB"/>
        </w:rPr>
        <w:t>, Species 2000, Naturalis, Netherlands, accessed May 2017.</w:t>
      </w:r>
      <w:r>
        <w:rPr>
          <w:rFonts w:cstheme="minorHAnsi"/>
          <w:color w:val="000000"/>
          <w:lang w:val="en-GB"/>
        </w:rPr>
        <w:t xml:space="preserve"> </w:t>
      </w:r>
    </w:p>
    <w:p w14:paraId="100F4908" w14:textId="77777777" w:rsidR="00907CF1" w:rsidRDefault="00907CF1" w:rsidP="00EC374D">
      <w:pPr>
        <w:spacing w:after="160"/>
        <w:rPr>
          <w:noProof/>
        </w:rPr>
      </w:pPr>
      <w:r>
        <w:rPr>
          <w:noProof/>
        </w:rPr>
        <w:t xml:space="preserve">Schlenk D, </w:t>
      </w:r>
      <w:r w:rsidRPr="004E58BA">
        <w:rPr>
          <w:noProof/>
        </w:rPr>
        <w:t>Huggett</w:t>
      </w:r>
      <w:r>
        <w:rPr>
          <w:noProof/>
        </w:rPr>
        <w:t xml:space="preserve"> DB, </w:t>
      </w:r>
      <w:r w:rsidRPr="004E58BA">
        <w:rPr>
          <w:noProof/>
        </w:rPr>
        <w:t>Allgood</w:t>
      </w:r>
      <w:r>
        <w:rPr>
          <w:noProof/>
        </w:rPr>
        <w:t xml:space="preserve"> J, </w:t>
      </w:r>
      <w:r w:rsidRPr="004E58BA">
        <w:rPr>
          <w:noProof/>
        </w:rPr>
        <w:t>Bennett</w:t>
      </w:r>
      <w:r>
        <w:rPr>
          <w:noProof/>
        </w:rPr>
        <w:t xml:space="preserve"> E, </w:t>
      </w:r>
      <w:r w:rsidRPr="004E58BA">
        <w:rPr>
          <w:noProof/>
        </w:rPr>
        <w:t>Rimoldi</w:t>
      </w:r>
      <w:r>
        <w:rPr>
          <w:noProof/>
        </w:rPr>
        <w:t xml:space="preserve"> J, </w:t>
      </w:r>
      <w:r w:rsidRPr="004E58BA">
        <w:rPr>
          <w:noProof/>
        </w:rPr>
        <w:t>Beeler</w:t>
      </w:r>
      <w:r>
        <w:rPr>
          <w:noProof/>
        </w:rPr>
        <w:t xml:space="preserve"> AB, </w:t>
      </w:r>
      <w:r w:rsidRPr="004E58BA">
        <w:rPr>
          <w:noProof/>
        </w:rPr>
        <w:t>Block</w:t>
      </w:r>
      <w:r>
        <w:rPr>
          <w:noProof/>
        </w:rPr>
        <w:t xml:space="preserve"> D, </w:t>
      </w:r>
      <w:r w:rsidRPr="004E58BA">
        <w:rPr>
          <w:noProof/>
        </w:rPr>
        <w:t>Holder</w:t>
      </w:r>
      <w:r>
        <w:rPr>
          <w:noProof/>
        </w:rPr>
        <w:t xml:space="preserve"> AW, </w:t>
      </w:r>
      <w:r w:rsidRPr="004E58BA">
        <w:rPr>
          <w:noProof/>
        </w:rPr>
        <w:t>Hovinga</w:t>
      </w:r>
      <w:r>
        <w:rPr>
          <w:noProof/>
        </w:rPr>
        <w:t xml:space="preserve"> R and </w:t>
      </w:r>
      <w:r w:rsidRPr="004E58BA">
        <w:rPr>
          <w:noProof/>
        </w:rPr>
        <w:t xml:space="preserve">Bed </w:t>
      </w:r>
      <w:r>
        <w:rPr>
          <w:noProof/>
        </w:rPr>
        <w:t xml:space="preserve">P </w:t>
      </w:r>
      <w:r w:rsidRPr="004E58BA">
        <w:rPr>
          <w:noProof/>
        </w:rPr>
        <w:t xml:space="preserve">(2001) </w:t>
      </w:r>
      <w:r>
        <w:rPr>
          <w:noProof/>
        </w:rPr>
        <w:t>‘</w:t>
      </w:r>
      <w:r w:rsidRPr="004E58BA">
        <w:rPr>
          <w:noProof/>
        </w:rPr>
        <w:t xml:space="preserve">Toxicity of fipronil and its degradation products to </w:t>
      </w:r>
      <w:r w:rsidRPr="004E58BA">
        <w:rPr>
          <w:i/>
          <w:noProof/>
        </w:rPr>
        <w:t xml:space="preserve">Procambarus </w:t>
      </w:r>
      <w:r w:rsidRPr="004E58BA">
        <w:rPr>
          <w:noProof/>
        </w:rPr>
        <w:t>sp.: Field and laboratory studies</w:t>
      </w:r>
      <w:r>
        <w:rPr>
          <w:noProof/>
        </w:rPr>
        <w:t xml:space="preserve">’, </w:t>
      </w:r>
      <w:r w:rsidRPr="00DE4E0B">
        <w:rPr>
          <w:i/>
          <w:noProof/>
        </w:rPr>
        <w:t>Archives of Environmental Contamination and Toxicology</w:t>
      </w:r>
      <w:r w:rsidRPr="009D3EA6">
        <w:rPr>
          <w:noProof/>
        </w:rPr>
        <w:t>,</w:t>
      </w:r>
      <w:r>
        <w:rPr>
          <w:noProof/>
        </w:rPr>
        <w:t xml:space="preserve"> 41:</w:t>
      </w:r>
      <w:r w:rsidRPr="004E58BA">
        <w:rPr>
          <w:noProof/>
        </w:rPr>
        <w:t>325</w:t>
      </w:r>
      <w:r>
        <w:t>–</w:t>
      </w:r>
      <w:r w:rsidRPr="004E58BA">
        <w:rPr>
          <w:noProof/>
        </w:rPr>
        <w:t>332</w:t>
      </w:r>
      <w:r>
        <w:rPr>
          <w:noProof/>
        </w:rPr>
        <w:t>.</w:t>
      </w:r>
    </w:p>
    <w:p w14:paraId="35716C82" w14:textId="77777777" w:rsidR="00907CF1" w:rsidRPr="0019282D" w:rsidRDefault="00907CF1" w:rsidP="00EC374D">
      <w:pPr>
        <w:keepNext/>
        <w:keepLines/>
        <w:spacing w:after="150"/>
      </w:pPr>
      <w:r>
        <w:lastRenderedPageBreak/>
        <w:t xml:space="preserve">Simon-Delso N, Amaral-Rogers V, Belzunces LP, Bonmatin JM, Chagnon M, Downs C, Furlan L, Gibbons DW, Giorio C, Girolami V, Goulson D, Kreutzweiser DP, Krupke CH, Liess M, Long E, McField M, Mineau P, Mitchell EAD, Morrissey CA, Noome DA, Pisa L, Settele J, Stark JD, Tapparo A, Van Dyck H, Van Praagh J, Van der Sluijs JP, Whitehorn PR and Wiemers M (2015) ‘Systemic insecticides (neonicotinoids and fipronil): Trends, uses, mode of action and metabolites’, </w:t>
      </w:r>
      <w:r w:rsidRPr="00ED728C">
        <w:rPr>
          <w:i/>
        </w:rPr>
        <w:t>Environmental Science and Pollution Research</w:t>
      </w:r>
      <w:r>
        <w:t>, 22(1):5</w:t>
      </w:r>
      <w:r w:rsidRPr="0019282D">
        <w:t>–</w:t>
      </w:r>
      <w:r>
        <w:t>34.</w:t>
      </w:r>
    </w:p>
    <w:p w14:paraId="5B5C7E55" w14:textId="77777777" w:rsidR="00907CF1" w:rsidRDefault="00907CF1" w:rsidP="00EC374D">
      <w:pPr>
        <w:spacing w:after="150"/>
        <w:rPr>
          <w:rFonts w:cstheme="minorHAnsi"/>
          <w:color w:val="000000"/>
          <w:lang w:val="en-GB"/>
        </w:rPr>
      </w:pPr>
      <w:r w:rsidRPr="000D6B20">
        <w:rPr>
          <w:rFonts w:cstheme="minorHAnsi"/>
          <w:color w:val="000000"/>
          <w:lang w:val="en-GB"/>
        </w:rPr>
        <w:t>Stehr</w:t>
      </w:r>
      <w:r>
        <w:rPr>
          <w:rFonts w:cstheme="minorHAnsi"/>
          <w:color w:val="000000"/>
          <w:lang w:val="en-GB"/>
        </w:rPr>
        <w:t xml:space="preserve"> CM,</w:t>
      </w:r>
      <w:r w:rsidRPr="000D6B20">
        <w:rPr>
          <w:rFonts w:cstheme="minorHAnsi"/>
          <w:color w:val="000000"/>
          <w:lang w:val="en-GB"/>
        </w:rPr>
        <w:t xml:space="preserve"> Linbo</w:t>
      </w:r>
      <w:r>
        <w:rPr>
          <w:rFonts w:cstheme="minorHAnsi"/>
          <w:color w:val="000000"/>
          <w:lang w:val="en-GB"/>
        </w:rPr>
        <w:t xml:space="preserve"> TL</w:t>
      </w:r>
      <w:r w:rsidRPr="000D6B20">
        <w:rPr>
          <w:rFonts w:cstheme="minorHAnsi"/>
          <w:color w:val="000000"/>
          <w:lang w:val="en-GB"/>
        </w:rPr>
        <w:t>, Incardona</w:t>
      </w:r>
      <w:r>
        <w:rPr>
          <w:rFonts w:cstheme="minorHAnsi"/>
          <w:color w:val="000000"/>
          <w:lang w:val="en-GB"/>
        </w:rPr>
        <w:t xml:space="preserve"> JP</w:t>
      </w:r>
      <w:r w:rsidRPr="000D6B20">
        <w:rPr>
          <w:rFonts w:cstheme="minorHAnsi"/>
          <w:color w:val="000000"/>
          <w:lang w:val="en-GB"/>
        </w:rPr>
        <w:t xml:space="preserve"> and Scholz</w:t>
      </w:r>
      <w:r>
        <w:rPr>
          <w:rFonts w:cstheme="minorHAnsi"/>
          <w:color w:val="000000"/>
          <w:lang w:val="en-GB"/>
        </w:rPr>
        <w:t xml:space="preserve"> NL</w:t>
      </w:r>
      <w:r w:rsidRPr="000D6B20">
        <w:rPr>
          <w:rFonts w:cstheme="minorHAnsi"/>
          <w:color w:val="000000"/>
          <w:lang w:val="en-GB"/>
        </w:rPr>
        <w:t xml:space="preserve"> (2006) </w:t>
      </w:r>
      <w:r>
        <w:rPr>
          <w:rFonts w:cstheme="minorHAnsi"/>
          <w:color w:val="000000"/>
          <w:lang w:val="en-GB"/>
        </w:rPr>
        <w:t>‘</w:t>
      </w:r>
      <w:r w:rsidRPr="000D6B20">
        <w:rPr>
          <w:rFonts w:cstheme="minorHAnsi"/>
          <w:color w:val="000000"/>
          <w:lang w:val="en-GB"/>
        </w:rPr>
        <w:t xml:space="preserve">The </w:t>
      </w:r>
      <w:r>
        <w:rPr>
          <w:rFonts w:cstheme="minorHAnsi"/>
          <w:color w:val="000000"/>
          <w:lang w:val="en-GB"/>
        </w:rPr>
        <w:t>d</w:t>
      </w:r>
      <w:r w:rsidRPr="000D6B20">
        <w:rPr>
          <w:rFonts w:cstheme="minorHAnsi"/>
          <w:color w:val="000000"/>
          <w:lang w:val="en-GB"/>
        </w:rPr>
        <w:t xml:space="preserve">evelopmental </w:t>
      </w:r>
      <w:r>
        <w:rPr>
          <w:rFonts w:cstheme="minorHAnsi"/>
          <w:color w:val="000000"/>
          <w:lang w:val="en-GB"/>
        </w:rPr>
        <w:t>n</w:t>
      </w:r>
      <w:r w:rsidRPr="000D6B20">
        <w:rPr>
          <w:rFonts w:cstheme="minorHAnsi"/>
          <w:color w:val="000000"/>
          <w:lang w:val="en-GB"/>
        </w:rPr>
        <w:t xml:space="preserve">eurotoxicity of </w:t>
      </w:r>
      <w:r>
        <w:rPr>
          <w:rFonts w:cstheme="minorHAnsi"/>
          <w:color w:val="000000"/>
          <w:lang w:val="en-GB"/>
        </w:rPr>
        <w:t>f</w:t>
      </w:r>
      <w:r w:rsidRPr="000D6B20">
        <w:rPr>
          <w:rFonts w:cstheme="minorHAnsi"/>
          <w:color w:val="000000"/>
          <w:lang w:val="en-GB"/>
        </w:rPr>
        <w:t xml:space="preserve">ipronil: Notochord </w:t>
      </w:r>
      <w:r>
        <w:rPr>
          <w:rFonts w:cstheme="minorHAnsi"/>
          <w:color w:val="000000"/>
          <w:lang w:val="en-GB"/>
        </w:rPr>
        <w:t>d</w:t>
      </w:r>
      <w:r w:rsidRPr="000D6B20">
        <w:rPr>
          <w:rFonts w:cstheme="minorHAnsi"/>
          <w:color w:val="000000"/>
          <w:lang w:val="en-GB"/>
        </w:rPr>
        <w:t xml:space="preserve">egeneration and </w:t>
      </w:r>
      <w:r>
        <w:rPr>
          <w:rFonts w:cstheme="minorHAnsi"/>
          <w:color w:val="000000"/>
          <w:lang w:val="en-GB"/>
        </w:rPr>
        <w:t>l</w:t>
      </w:r>
      <w:r w:rsidRPr="000D6B20">
        <w:rPr>
          <w:rFonts w:cstheme="minorHAnsi"/>
          <w:color w:val="000000"/>
          <w:lang w:val="en-GB"/>
        </w:rPr>
        <w:t xml:space="preserve">ocomotor </w:t>
      </w:r>
      <w:r>
        <w:rPr>
          <w:rFonts w:cstheme="minorHAnsi"/>
          <w:color w:val="000000"/>
          <w:lang w:val="en-GB"/>
        </w:rPr>
        <w:t>d</w:t>
      </w:r>
      <w:r w:rsidRPr="000D6B20">
        <w:rPr>
          <w:rFonts w:cstheme="minorHAnsi"/>
          <w:color w:val="000000"/>
          <w:lang w:val="en-GB"/>
        </w:rPr>
        <w:t xml:space="preserve">efects in Zebrafish </w:t>
      </w:r>
      <w:r>
        <w:rPr>
          <w:rFonts w:cstheme="minorHAnsi"/>
          <w:color w:val="000000"/>
          <w:lang w:val="en-GB"/>
        </w:rPr>
        <w:t>e</w:t>
      </w:r>
      <w:r w:rsidRPr="000D6B20">
        <w:rPr>
          <w:rFonts w:cstheme="minorHAnsi"/>
          <w:color w:val="000000"/>
          <w:lang w:val="en-GB"/>
        </w:rPr>
        <w:t xml:space="preserve">mbryos and </w:t>
      </w:r>
      <w:r>
        <w:rPr>
          <w:rFonts w:cstheme="minorHAnsi"/>
          <w:color w:val="000000"/>
          <w:lang w:val="en-GB"/>
        </w:rPr>
        <w:t>l</w:t>
      </w:r>
      <w:r w:rsidRPr="000D6B20">
        <w:rPr>
          <w:rFonts w:cstheme="minorHAnsi"/>
          <w:color w:val="000000"/>
          <w:lang w:val="en-GB"/>
        </w:rPr>
        <w:t>arvae</w:t>
      </w:r>
      <w:r>
        <w:rPr>
          <w:rFonts w:cstheme="minorHAnsi"/>
          <w:color w:val="000000"/>
          <w:lang w:val="en-GB"/>
        </w:rPr>
        <w:t xml:space="preserve">’, </w:t>
      </w:r>
      <w:r w:rsidRPr="00560B8A">
        <w:rPr>
          <w:rFonts w:cstheme="minorHAnsi"/>
          <w:i/>
          <w:iCs/>
          <w:color w:val="000000"/>
          <w:lang w:val="en-GB"/>
        </w:rPr>
        <w:t>Toxicology and Science</w:t>
      </w:r>
      <w:r>
        <w:rPr>
          <w:rFonts w:cstheme="minorHAnsi"/>
          <w:color w:val="000000"/>
          <w:lang w:val="en-GB"/>
        </w:rPr>
        <w:t>, 92:</w:t>
      </w:r>
      <w:r w:rsidRPr="000D6B20">
        <w:rPr>
          <w:rFonts w:cstheme="minorHAnsi"/>
          <w:color w:val="000000"/>
          <w:lang w:val="en-GB"/>
        </w:rPr>
        <w:t>27</w:t>
      </w:r>
      <w:r>
        <w:rPr>
          <w:rFonts w:cstheme="minorHAnsi"/>
          <w:color w:val="000000"/>
          <w:lang w:val="en-GB"/>
        </w:rPr>
        <w:t>0–</w:t>
      </w:r>
      <w:r w:rsidRPr="000D6B20">
        <w:rPr>
          <w:rFonts w:cstheme="minorHAnsi"/>
          <w:color w:val="000000"/>
          <w:lang w:val="en-GB"/>
        </w:rPr>
        <w:t>278</w:t>
      </w:r>
      <w:r>
        <w:rPr>
          <w:rFonts w:cstheme="minorHAnsi"/>
          <w:color w:val="000000"/>
          <w:lang w:val="en-GB"/>
        </w:rPr>
        <w:t>.</w:t>
      </w:r>
    </w:p>
    <w:p w14:paraId="06676B2F" w14:textId="77777777" w:rsidR="00907CF1" w:rsidRDefault="00907CF1" w:rsidP="00EC374D">
      <w:pPr>
        <w:spacing w:after="150"/>
        <w:rPr>
          <w:noProof/>
        </w:rPr>
      </w:pPr>
      <w:r>
        <w:rPr>
          <w:noProof/>
        </w:rPr>
        <w:t xml:space="preserve">Stevens MM, </w:t>
      </w:r>
      <w:r w:rsidRPr="008628EB">
        <w:rPr>
          <w:noProof/>
        </w:rPr>
        <w:t>Burdett</w:t>
      </w:r>
      <w:r>
        <w:rPr>
          <w:noProof/>
        </w:rPr>
        <w:t xml:space="preserve"> AS, </w:t>
      </w:r>
      <w:r w:rsidRPr="008628EB">
        <w:rPr>
          <w:noProof/>
        </w:rPr>
        <w:t>Mudford</w:t>
      </w:r>
      <w:r>
        <w:rPr>
          <w:noProof/>
        </w:rPr>
        <w:t xml:space="preserve"> EM, </w:t>
      </w:r>
      <w:r w:rsidRPr="008628EB">
        <w:rPr>
          <w:noProof/>
        </w:rPr>
        <w:t>Helliwell</w:t>
      </w:r>
      <w:r>
        <w:rPr>
          <w:noProof/>
        </w:rPr>
        <w:t xml:space="preserve"> S and </w:t>
      </w:r>
      <w:r w:rsidRPr="008628EB">
        <w:rPr>
          <w:noProof/>
        </w:rPr>
        <w:t>Doran</w:t>
      </w:r>
      <w:r>
        <w:rPr>
          <w:noProof/>
        </w:rPr>
        <w:t xml:space="preserve"> G</w:t>
      </w:r>
      <w:r w:rsidRPr="008628EB">
        <w:rPr>
          <w:noProof/>
        </w:rPr>
        <w:t xml:space="preserve"> (2011) </w:t>
      </w:r>
      <w:r>
        <w:rPr>
          <w:noProof/>
        </w:rPr>
        <w:t>‘</w:t>
      </w:r>
      <w:r w:rsidRPr="008628EB">
        <w:rPr>
          <w:noProof/>
        </w:rPr>
        <w:t>The acute toxicity of fipronil to two non-target invertebrates associated with mosquito breeding site</w:t>
      </w:r>
      <w:r>
        <w:rPr>
          <w:noProof/>
        </w:rPr>
        <w:t xml:space="preserve">s in Australia, </w:t>
      </w:r>
      <w:r w:rsidRPr="008628EB">
        <w:rPr>
          <w:i/>
          <w:noProof/>
        </w:rPr>
        <w:t>Acta Tropica</w:t>
      </w:r>
      <w:r>
        <w:rPr>
          <w:iCs/>
          <w:noProof/>
        </w:rPr>
        <w:t>’</w:t>
      </w:r>
      <w:r>
        <w:rPr>
          <w:noProof/>
        </w:rPr>
        <w:t>, 117:</w:t>
      </w:r>
      <w:r w:rsidRPr="008628EB">
        <w:rPr>
          <w:noProof/>
        </w:rPr>
        <w:t>125</w:t>
      </w:r>
      <w:r>
        <w:t>–</w:t>
      </w:r>
      <w:r w:rsidRPr="008628EB">
        <w:rPr>
          <w:noProof/>
        </w:rPr>
        <w:t>130</w:t>
      </w:r>
      <w:r>
        <w:rPr>
          <w:noProof/>
        </w:rPr>
        <w:t>.</w:t>
      </w:r>
    </w:p>
    <w:p w14:paraId="4887978E" w14:textId="77777777" w:rsidR="00907CF1" w:rsidRPr="00586A56" w:rsidRDefault="00907CF1" w:rsidP="00EC374D">
      <w:pPr>
        <w:spacing w:after="150"/>
      </w:pPr>
      <w:r w:rsidRPr="00586A56">
        <w:t xml:space="preserve">Sunderam RIM, Warne MStJ, Chapman JC, Pablo F, Hawkins J, Rose RM and Patra RW (2000) </w:t>
      </w:r>
      <w:r w:rsidRPr="00586A56">
        <w:rPr>
          <w:i/>
          <w:iCs/>
        </w:rPr>
        <w:t>The ANZECC/ARMCANZ water quality guideline database for toxicants</w:t>
      </w:r>
      <w:r w:rsidRPr="00586A56">
        <w:t>, supplied as CD-ROM in ANZECC/ARMCANZ Australian and New Zealand guidelines for fresh and marine water quality.</w:t>
      </w:r>
    </w:p>
    <w:p w14:paraId="14CE063E" w14:textId="77777777" w:rsidR="00907CF1" w:rsidRDefault="00907CF1" w:rsidP="00EC374D">
      <w:pPr>
        <w:spacing w:after="150"/>
      </w:pPr>
      <w:r w:rsidRPr="00B710C6">
        <w:t xml:space="preserve">University of Hertfordshire (2013) </w:t>
      </w:r>
      <w:hyperlink r:id="rId38" w:history="1">
        <w:r w:rsidRPr="002B1194">
          <w:rPr>
            <w:rStyle w:val="Hyperlink"/>
            <w:i/>
            <w:iCs/>
          </w:rPr>
          <w:t>PPDB: The Pesticide Properties DataBase</w:t>
        </w:r>
      </w:hyperlink>
      <w:r>
        <w:rPr>
          <w:i/>
          <w:iCs/>
        </w:rPr>
        <w:t xml:space="preserve"> </w:t>
      </w:r>
      <w:r w:rsidRPr="00B710C6">
        <w:t>[website], University of Hertfordshire, accessed May 2016.</w:t>
      </w:r>
      <w:r>
        <w:t xml:space="preserve"> </w:t>
      </w:r>
    </w:p>
    <w:p w14:paraId="3ED24254" w14:textId="77777777" w:rsidR="00907CF1" w:rsidRDefault="00907CF1" w:rsidP="00EC374D">
      <w:pPr>
        <w:spacing w:after="150"/>
        <w:rPr>
          <w:noProof/>
        </w:rPr>
      </w:pPr>
      <w:r w:rsidRPr="00022778">
        <w:t xml:space="preserve">USEPA (2015) </w:t>
      </w:r>
      <w:hyperlink r:id="rId39" w:history="1">
        <w:r w:rsidRPr="00022778">
          <w:rPr>
            <w:rStyle w:val="Hyperlink"/>
            <w:i/>
            <w:iCs/>
            <w:color w:val="auto"/>
          </w:rPr>
          <w:t>ECOTOX Knowledgebase</w:t>
        </w:r>
      </w:hyperlink>
      <w:r w:rsidRPr="00022778">
        <w:t xml:space="preserve"> [website], United States Environmental Protection Agency, accessed May</w:t>
      </w:r>
      <w:r>
        <w:t xml:space="preserve"> 2015 </w:t>
      </w:r>
      <w:r w:rsidRPr="00022778">
        <w:t>–</w:t>
      </w:r>
      <w:r>
        <w:t xml:space="preserve"> April 2016</w:t>
      </w:r>
      <w:r w:rsidRPr="00022778">
        <w:t>.</w:t>
      </w:r>
    </w:p>
    <w:p w14:paraId="23476723" w14:textId="77777777" w:rsidR="00907CF1" w:rsidRDefault="00907CF1" w:rsidP="00EC374D">
      <w:pPr>
        <w:spacing w:after="150"/>
      </w:pPr>
      <w:r w:rsidRPr="00F61956">
        <w:t>Volz</w:t>
      </w:r>
      <w:r>
        <w:t xml:space="preserve"> DC</w:t>
      </w:r>
      <w:r w:rsidRPr="00F61956">
        <w:t>, Wirth</w:t>
      </w:r>
      <w:r>
        <w:t xml:space="preserve"> EF</w:t>
      </w:r>
      <w:r w:rsidRPr="00F61956">
        <w:t>, Fulton</w:t>
      </w:r>
      <w:r>
        <w:t xml:space="preserve"> MH</w:t>
      </w:r>
      <w:r w:rsidRPr="00F61956">
        <w:t>, Scott</w:t>
      </w:r>
      <w:r>
        <w:t xml:space="preserve"> GI</w:t>
      </w:r>
      <w:r w:rsidRPr="00F61956">
        <w:t>, Strozier</w:t>
      </w:r>
      <w:r>
        <w:t xml:space="preserve"> E</w:t>
      </w:r>
      <w:r w:rsidRPr="00F61956">
        <w:t>, Block</w:t>
      </w:r>
      <w:r>
        <w:t xml:space="preserve"> DS</w:t>
      </w:r>
      <w:r w:rsidRPr="00F61956">
        <w:t>, Ferry</w:t>
      </w:r>
      <w:r>
        <w:t xml:space="preserve"> JL</w:t>
      </w:r>
      <w:r w:rsidRPr="00F61956">
        <w:t>, Walse</w:t>
      </w:r>
      <w:r>
        <w:t xml:space="preserve"> SS</w:t>
      </w:r>
      <w:r w:rsidRPr="00F61956">
        <w:t xml:space="preserve"> and Chandler</w:t>
      </w:r>
      <w:r>
        <w:t xml:space="preserve"> GT</w:t>
      </w:r>
      <w:r w:rsidRPr="00F61956">
        <w:t xml:space="preserve"> (2003) </w:t>
      </w:r>
      <w:r>
        <w:t>‘</w:t>
      </w:r>
      <w:r w:rsidRPr="00F61956">
        <w:t xml:space="preserve">Effects of </w:t>
      </w:r>
      <w:r>
        <w:t>f</w:t>
      </w:r>
      <w:r w:rsidRPr="00F61956">
        <w:t xml:space="preserve">ipronil and </w:t>
      </w:r>
      <w:r>
        <w:t>c</w:t>
      </w:r>
      <w:r w:rsidRPr="00F61956">
        <w:t xml:space="preserve">hlorpyrifos on </w:t>
      </w:r>
      <w:r>
        <w:t>endocrine-r</w:t>
      </w:r>
      <w:r w:rsidRPr="00F61956">
        <w:t xml:space="preserve">elated </w:t>
      </w:r>
      <w:r>
        <w:t>e</w:t>
      </w:r>
      <w:r w:rsidRPr="00F61956">
        <w:t xml:space="preserve">ndpoints in </w:t>
      </w:r>
      <w:r>
        <w:t>f</w:t>
      </w:r>
      <w:r w:rsidRPr="00F61956">
        <w:t xml:space="preserve">emale </w:t>
      </w:r>
      <w:r>
        <w:t>grass s</w:t>
      </w:r>
      <w:r w:rsidRPr="00F61956">
        <w:t>hrimp (</w:t>
      </w:r>
      <w:r w:rsidRPr="00F61956">
        <w:rPr>
          <w:i/>
        </w:rPr>
        <w:t>Palaemonetes pugio</w:t>
      </w:r>
      <w:r w:rsidRPr="00F61956">
        <w:t>)</w:t>
      </w:r>
      <w:r>
        <w:t>’,</w:t>
      </w:r>
      <w:r w:rsidRPr="00F61956">
        <w:t xml:space="preserve"> Bull</w:t>
      </w:r>
      <w:r>
        <w:t>etin of Environmental Contamination and Toxicology, 71:</w:t>
      </w:r>
      <w:r w:rsidRPr="00F61956">
        <w:t>497</w:t>
      </w:r>
      <w:r>
        <w:t>–</w:t>
      </w:r>
      <w:r w:rsidRPr="00F61956">
        <w:t>503</w:t>
      </w:r>
      <w:r>
        <w:t>.</w:t>
      </w:r>
    </w:p>
    <w:p w14:paraId="054C5C4C" w14:textId="77777777" w:rsidR="00907CF1" w:rsidRPr="00382FEB" w:rsidRDefault="00907CF1" w:rsidP="00EC374D">
      <w:pPr>
        <w:spacing w:after="150"/>
      </w:pPr>
      <w:r w:rsidRPr="00382FEB">
        <w:t xml:space="preserve">Warne MStJ, Batley GE, van Dam RA, Chapman JC, Fox DR, Hickey CW, and Stauber JL (2018) </w:t>
      </w:r>
      <w:r w:rsidRPr="00382FEB">
        <w:rPr>
          <w:i/>
          <w:iCs/>
        </w:rPr>
        <w:t>Revised method for deriving Australian and New Zealand water quality guideline values for toxicants – update of 2015 version</w:t>
      </w:r>
      <w:r w:rsidRPr="00382FEB">
        <w:t>, Australian and New Zealand governments and Australian state and territory governments.</w:t>
      </w:r>
    </w:p>
    <w:p w14:paraId="5D7D7406" w14:textId="77777777" w:rsidR="00907CF1" w:rsidRPr="00561091" w:rsidRDefault="00907CF1" w:rsidP="00EC374D">
      <w:pPr>
        <w:spacing w:after="150"/>
      </w:pPr>
      <w:r w:rsidRPr="00561091">
        <w:t xml:space="preserve">Warne MStJ, Westbury A-M and Sunderam R (1998) ‘A compilation of toxicity data for chemicals to Australasian aquatic species. Part 1: pesticides’, </w:t>
      </w:r>
      <w:r w:rsidRPr="00561091">
        <w:rPr>
          <w:i/>
        </w:rPr>
        <w:t>Australasian Journal of Ecotoxicology,</w:t>
      </w:r>
      <w:r w:rsidRPr="00561091">
        <w:t xml:space="preserve"> 4:93–144.</w:t>
      </w:r>
    </w:p>
    <w:p w14:paraId="30D8EEA9" w14:textId="77777777" w:rsidR="00907CF1" w:rsidRDefault="00907CF1" w:rsidP="00EC374D">
      <w:pPr>
        <w:spacing w:after="150"/>
      </w:pPr>
      <w:r>
        <w:t xml:space="preserve">Water Quality and Investigations (2020) </w:t>
      </w:r>
      <w:hyperlink r:id="rId40" w:history="1">
        <w:r w:rsidRPr="009F65EE">
          <w:rPr>
            <w:rStyle w:val="Hyperlink"/>
            <w:i/>
            <w:iCs/>
          </w:rPr>
          <w:t>Pesticide Reporting Portal</w:t>
        </w:r>
      </w:hyperlink>
      <w:r>
        <w:t xml:space="preserve"> [website], Queensland Department of Environment and Science, accessed December 2022. </w:t>
      </w:r>
    </w:p>
    <w:p w14:paraId="0D489321" w14:textId="77777777" w:rsidR="00907CF1" w:rsidRDefault="00907CF1" w:rsidP="00EC374D">
      <w:pPr>
        <w:spacing w:after="150"/>
      </w:pPr>
      <w:r w:rsidRPr="004E574F">
        <w:t xml:space="preserve">Weston DP </w:t>
      </w:r>
      <w:r>
        <w:t>and</w:t>
      </w:r>
      <w:r w:rsidRPr="004E574F">
        <w:t xml:space="preserve"> Lydy MJ (2014) </w:t>
      </w:r>
      <w:r>
        <w:t>‘</w:t>
      </w:r>
      <w:r w:rsidRPr="004E574F">
        <w:t>Toxicity of the insecticide fipronil and its degradates to benthic macroinvertebrates of urban streams</w:t>
      </w:r>
      <w:r>
        <w:t xml:space="preserve">’, </w:t>
      </w:r>
      <w:r w:rsidRPr="004E574F">
        <w:rPr>
          <w:i/>
          <w:iCs/>
        </w:rPr>
        <w:t xml:space="preserve">Environmental Science </w:t>
      </w:r>
      <w:r>
        <w:rPr>
          <w:i/>
          <w:iCs/>
        </w:rPr>
        <w:t>and</w:t>
      </w:r>
      <w:r w:rsidRPr="004E574F">
        <w:rPr>
          <w:i/>
          <w:iCs/>
        </w:rPr>
        <w:t xml:space="preserve"> Technology</w:t>
      </w:r>
      <w:r w:rsidRPr="004E574F">
        <w:t>,</w:t>
      </w:r>
      <w:r>
        <w:t xml:space="preserve"> </w:t>
      </w:r>
      <w:r w:rsidRPr="00F42D99">
        <w:t>48</w:t>
      </w:r>
      <w:r>
        <w:t>:</w:t>
      </w:r>
      <w:r w:rsidRPr="004E574F">
        <w:t>1290</w:t>
      </w:r>
      <w:r>
        <w:t>–</w:t>
      </w:r>
      <w:r w:rsidRPr="004E574F">
        <w:t>1297.</w:t>
      </w:r>
    </w:p>
    <w:p w14:paraId="34410246" w14:textId="77777777" w:rsidR="00907CF1" w:rsidRDefault="00907CF1" w:rsidP="00EC374D">
      <w:pPr>
        <w:spacing w:after="150"/>
      </w:pPr>
      <w:r>
        <w:t xml:space="preserve">Wilson WA, Konwick BJ, Garrison AW, Avants JK, Black MC (2008) ‘Enantioselective chronic toxicity of fipronil to </w:t>
      </w:r>
      <w:r w:rsidRPr="00ED728C">
        <w:rPr>
          <w:i/>
        </w:rPr>
        <w:t>Ceriodaphnia dubia</w:t>
      </w:r>
      <w:r w:rsidRPr="00E128E6">
        <w:rPr>
          <w:iCs/>
        </w:rPr>
        <w:t>’</w:t>
      </w:r>
      <w:r>
        <w:rPr>
          <w:iCs/>
        </w:rPr>
        <w:t>,</w:t>
      </w:r>
      <w:r>
        <w:t xml:space="preserve"> </w:t>
      </w:r>
      <w:r w:rsidRPr="00ED728C">
        <w:rPr>
          <w:i/>
        </w:rPr>
        <w:t>Archives of Environmental Contamination and Toxicology</w:t>
      </w:r>
      <w:r>
        <w:t>, 54:36–43.</w:t>
      </w:r>
    </w:p>
    <w:p w14:paraId="3D01147E" w14:textId="77777777" w:rsidR="00907CF1" w:rsidRPr="00ED728C" w:rsidRDefault="00907CF1" w:rsidP="00EC374D">
      <w:pPr>
        <w:spacing w:after="150"/>
      </w:pPr>
      <w:r w:rsidRPr="00410DB6">
        <w:t xml:space="preserve">WoRMS (2017) </w:t>
      </w:r>
      <w:hyperlink r:id="rId41" w:history="1">
        <w:r w:rsidRPr="00920DBC">
          <w:rPr>
            <w:rStyle w:val="Hyperlink"/>
            <w:i/>
            <w:iCs/>
          </w:rPr>
          <w:t>World Register of Marine Species</w:t>
        </w:r>
      </w:hyperlink>
      <w:r w:rsidRPr="00410DB6">
        <w:t xml:space="preserve"> [website], WoRMS Editorial Board, accessed May 2017.</w:t>
      </w:r>
      <w:r>
        <w:t xml:space="preserve"> </w:t>
      </w:r>
    </w:p>
    <w:p w14:paraId="6D7BF02D" w14:textId="77777777" w:rsidR="00907CF1" w:rsidRPr="006D4932" w:rsidRDefault="00907CF1" w:rsidP="00907CF1">
      <w:pPr>
        <w:spacing w:after="0"/>
        <w:rPr>
          <w:rStyle w:val="Heading1waterqualityChar"/>
          <w:rFonts w:asciiTheme="minorHAnsi" w:eastAsiaTheme="minorHAnsi" w:hAnsiTheme="minorHAnsi"/>
          <w:bCs/>
          <w:caps w:val="0"/>
          <w:color w:val="auto"/>
          <w:spacing w:val="0"/>
          <w:sz w:val="22"/>
          <w:szCs w:val="22"/>
          <w:lang w:val="en-AU" w:bidi="ar-SA"/>
        </w:rPr>
      </w:pPr>
      <w:r w:rsidRPr="006718EA">
        <w:t xml:space="preserve">Yokoyama A, Ohtsu K, Iwafune T, Nagai T, Ishihara S, Kobara Y, Horio T and Endo S (2009) </w:t>
      </w:r>
      <w:r>
        <w:t>‘</w:t>
      </w:r>
      <w:r w:rsidRPr="006718EA">
        <w:t xml:space="preserve">A useful new insecticide bioassay using first-instar larvae of a net-spinning caddisfly, </w:t>
      </w:r>
      <w:r w:rsidRPr="006718EA">
        <w:rPr>
          <w:i/>
        </w:rPr>
        <w:t>Cheumatopsyche brevilineata</w:t>
      </w:r>
      <w:r w:rsidRPr="006718EA">
        <w:t xml:space="preserve"> (Trichoptera: Hydropsychidae)</w:t>
      </w:r>
      <w:r>
        <w:t>’</w:t>
      </w:r>
      <w:r w:rsidRPr="006718EA">
        <w:t xml:space="preserve">, </w:t>
      </w:r>
      <w:r w:rsidRPr="006718EA">
        <w:rPr>
          <w:i/>
        </w:rPr>
        <w:t>Journal of Pesticide Science</w:t>
      </w:r>
      <w:r>
        <w:t>, 34:</w:t>
      </w:r>
      <w:r w:rsidRPr="006718EA">
        <w:t>13</w:t>
      </w:r>
      <w:r>
        <w:t>–</w:t>
      </w:r>
      <w:r w:rsidRPr="006718EA">
        <w:t>20.</w:t>
      </w:r>
    </w:p>
    <w:sectPr w:rsidR="00907CF1" w:rsidRPr="006D4932" w:rsidSect="00660EA7">
      <w:headerReference w:type="even" r:id="rId42"/>
      <w:headerReference w:type="default" r:id="rId43"/>
      <w:footerReference w:type="even" r:id="rId44"/>
      <w:footerReference w:type="default" r:id="rId45"/>
      <w:headerReference w:type="first" r:id="rId46"/>
      <w:footerReference w:type="first" r:id="rId47"/>
      <w:pgSz w:w="11906" w:h="16838" w:code="9"/>
      <w:pgMar w:top="1418" w:right="1418"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DFB9" w14:textId="77777777" w:rsidR="00264C11" w:rsidRDefault="00264C11">
      <w:pPr>
        <w:spacing w:after="0" w:line="240" w:lineRule="auto"/>
      </w:pPr>
      <w:r>
        <w:separator/>
      </w:r>
    </w:p>
  </w:endnote>
  <w:endnote w:type="continuationSeparator" w:id="0">
    <w:p w14:paraId="383A6388" w14:textId="77777777" w:rsidR="00264C11" w:rsidRDefault="00264C11">
      <w:pPr>
        <w:spacing w:after="0" w:line="240" w:lineRule="auto"/>
      </w:pPr>
      <w:r>
        <w:continuationSeparator/>
      </w:r>
    </w:p>
  </w:endnote>
  <w:endnote w:type="continuationNotice" w:id="1">
    <w:p w14:paraId="041B5E14" w14:textId="77777777" w:rsidR="00264C11" w:rsidRDefault="00264C11">
      <w:pPr>
        <w:pStyle w:val="Footer"/>
        <w:jc w:val="lef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A252" w14:textId="0BBF3DF1" w:rsidR="006D5D93" w:rsidRDefault="00CB535F" w:rsidP="009131B6">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2B7F1EF" wp14:editId="47EBF00B">
              <wp:simplePos x="635" y="635"/>
              <wp:positionH relativeFrom="page">
                <wp:align>center</wp:align>
              </wp:positionH>
              <wp:positionV relativeFrom="page">
                <wp:align>bottom</wp:align>
              </wp:positionV>
              <wp:extent cx="551815" cy="404495"/>
              <wp:effectExtent l="0" t="0" r="635" b="0"/>
              <wp:wrapNone/>
              <wp:docPr id="33484568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2ADBFD6" w14:textId="3EA56390"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7F1EF" id="_x0000_t202" coordsize="21600,21600" o:spt="202" path="m,l,21600r21600,l21600,xe">
              <v:stroke joinstyle="miter"/>
              <v:path gradientshapeok="t" o:connecttype="rect"/>
            </v:shapetype>
            <v:shape id="Text Box 8" o:spid="_x0000_s1027"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62ADBFD6" w14:textId="3EA56390"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v:textbox>
              <w10:wrap anchorx="page" anchory="page"/>
            </v:shape>
          </w:pict>
        </mc:Fallback>
      </mc:AlternateContent>
    </w:r>
  </w:p>
  <w:sdt>
    <w:sdtPr>
      <w:rPr>
        <w:rStyle w:val="PageNumber"/>
      </w:rPr>
      <w:id w:val="-355270365"/>
      <w:docPartObj>
        <w:docPartGallery w:val="Page Numbers (Bottom of Page)"/>
        <w:docPartUnique/>
      </w:docPartObj>
    </w:sdtPr>
    <w:sdtEndPr>
      <w:rPr>
        <w:rStyle w:val="PageNumber"/>
      </w:rPr>
    </w:sdtEndPr>
    <w:sdtContent>
      <w:p w14:paraId="4B62D0F1" w14:textId="77777777" w:rsidR="006D5D93" w:rsidRDefault="006D5D93" w:rsidP="009131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813D4F" w14:textId="77777777" w:rsidR="006D5D93" w:rsidRDefault="006D5D93" w:rsidP="006D5D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2F03" w14:textId="66C7627A" w:rsidR="00BA3523" w:rsidRPr="00660EA7" w:rsidRDefault="00FF77C3" w:rsidP="00660EA7">
    <w:pPr>
      <w:pStyle w:val="Footer"/>
      <w:spacing w:before="120"/>
    </w:pPr>
    <w:r w:rsidRPr="00660EA7">
      <w:t>Australian and New Zealand Guidelines for Fresh and Marine Water Quality</w:t>
    </w:r>
    <w:r w:rsidR="00660EA7" w:rsidRPr="00660EA7">
      <w:ptab w:relativeTo="margin" w:alignment="right" w:leader="none"/>
    </w:r>
    <w:r w:rsidR="00660EA7" w:rsidRPr="00660EA7">
      <w:fldChar w:fldCharType="begin"/>
    </w:r>
    <w:r w:rsidR="00660EA7" w:rsidRPr="00660EA7">
      <w:instrText xml:space="preserve"> PAGE   \* MERGEFORMAT </w:instrText>
    </w:r>
    <w:r w:rsidR="00660EA7" w:rsidRPr="00660EA7">
      <w:fldChar w:fldCharType="separate"/>
    </w:r>
    <w:r w:rsidR="00660EA7" w:rsidRPr="00660EA7">
      <w:t>1</w:t>
    </w:r>
    <w:r w:rsidR="00660EA7" w:rsidRPr="00660EA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7D7B" w14:textId="355CB430" w:rsidR="00BA3523" w:rsidRDefault="00BA3523" w:rsidP="00B859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BD5" w14:textId="0804B624" w:rsidR="00CB535F" w:rsidRDefault="00CB535F">
    <w:pPr>
      <w:pStyle w:val="Footer"/>
    </w:pPr>
    <w:r>
      <w:rPr>
        <w:noProof/>
      </w:rPr>
      <mc:AlternateContent>
        <mc:Choice Requires="wps">
          <w:drawing>
            <wp:anchor distT="0" distB="0" distL="0" distR="0" simplePos="0" relativeHeight="251658250" behindDoc="0" locked="0" layoutInCell="1" allowOverlap="1" wp14:anchorId="37CC4252" wp14:editId="07FC1982">
              <wp:simplePos x="635" y="635"/>
              <wp:positionH relativeFrom="page">
                <wp:align>center</wp:align>
              </wp:positionH>
              <wp:positionV relativeFrom="page">
                <wp:align>bottom</wp:align>
              </wp:positionV>
              <wp:extent cx="551815" cy="404495"/>
              <wp:effectExtent l="0" t="0" r="635" b="0"/>
              <wp:wrapNone/>
              <wp:docPr id="47823614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CA06C36" w14:textId="51640F8F"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CC4252" id="_x0000_t202" coordsize="21600,21600" o:spt="202" path="m,l,21600r21600,l21600,xe">
              <v:stroke joinstyle="miter"/>
              <v:path gradientshapeok="t" o:connecttype="rect"/>
            </v:shapetype>
            <v:shape id="Text Box 11" o:spid="_x0000_s1029" type="#_x0000_t202" alt="OFFICIAL" style="position:absolute;left:0;text-align:left;margin-left:0;margin-top:0;width:43.45pt;height:31.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CA06C36" w14:textId="51640F8F"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5374" w14:textId="77777777" w:rsidR="00455119" w:rsidRPr="00660EA7" w:rsidRDefault="00455119" w:rsidP="00455119">
    <w:pPr>
      <w:pStyle w:val="Footer"/>
      <w:spacing w:before="120"/>
    </w:pPr>
    <w:r w:rsidRPr="00660EA7">
      <w:t>Australian and New Zealand Guidelines for Fresh and Marine Water Quality</w:t>
    </w:r>
    <w:r w:rsidRPr="00660EA7">
      <w:ptab w:relativeTo="margin" w:alignment="right" w:leader="none"/>
    </w:r>
    <w:r w:rsidRPr="00660EA7">
      <w:fldChar w:fldCharType="begin"/>
    </w:r>
    <w:r w:rsidRPr="00660EA7">
      <w:instrText xml:space="preserve"> PAGE   \* MERGEFORMAT </w:instrText>
    </w:r>
    <w:r w:rsidRPr="00660EA7">
      <w:fldChar w:fldCharType="separate"/>
    </w:r>
    <w:r>
      <w:t>8</w:t>
    </w:r>
    <w:r w:rsidRPr="00660EA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96F2" w14:textId="17E9544A" w:rsidR="00CB535F" w:rsidRDefault="00CB535F">
    <w:pPr>
      <w:pStyle w:val="Footer"/>
    </w:pPr>
    <w:r>
      <w:rPr>
        <w:noProof/>
      </w:rPr>
      <mc:AlternateContent>
        <mc:Choice Requires="wps">
          <w:drawing>
            <wp:anchor distT="0" distB="0" distL="0" distR="0" simplePos="0" relativeHeight="251658252" behindDoc="0" locked="0" layoutInCell="1" allowOverlap="1" wp14:anchorId="6D5356C0" wp14:editId="458D52C9">
              <wp:simplePos x="635" y="635"/>
              <wp:positionH relativeFrom="page">
                <wp:align>center</wp:align>
              </wp:positionH>
              <wp:positionV relativeFrom="page">
                <wp:align>bottom</wp:align>
              </wp:positionV>
              <wp:extent cx="551815" cy="404495"/>
              <wp:effectExtent l="0" t="0" r="635" b="0"/>
              <wp:wrapNone/>
              <wp:docPr id="4552937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4279D9" w14:textId="424958EB"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356C0"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54279D9" w14:textId="424958EB"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D966" w14:textId="77777777" w:rsidR="00264C11" w:rsidRDefault="00264C11">
      <w:pPr>
        <w:spacing w:after="0" w:line="240" w:lineRule="auto"/>
      </w:pPr>
      <w:r>
        <w:separator/>
      </w:r>
    </w:p>
  </w:footnote>
  <w:footnote w:type="continuationSeparator" w:id="0">
    <w:p w14:paraId="00D66F20" w14:textId="77777777" w:rsidR="00264C11" w:rsidRDefault="00264C11">
      <w:pPr>
        <w:spacing w:after="0" w:line="240" w:lineRule="auto"/>
      </w:pPr>
      <w:r>
        <w:continuationSeparator/>
      </w:r>
    </w:p>
  </w:footnote>
  <w:footnote w:type="continuationNotice" w:id="1">
    <w:p w14:paraId="5436CE5D" w14:textId="77777777" w:rsidR="00264C11" w:rsidRDefault="00264C1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670A" w14:textId="7E730C5D" w:rsidR="00CB535F" w:rsidRDefault="0098369C">
    <w:pPr>
      <w:pStyle w:val="Header"/>
    </w:pPr>
    <w:r>
      <w:rPr>
        <w:noProof/>
      </w:rPr>
      <w:pict w14:anchorId="60AA4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83938" o:spid="_x0000_s1026" type="#_x0000_t136" style="position:absolute;left:0;text-align:left;margin-left:0;margin-top:0;width:399.65pt;height:239.8pt;rotation:315;z-index:-2516541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B535F">
      <w:rPr>
        <w:noProof/>
      </w:rPr>
      <mc:AlternateContent>
        <mc:Choice Requires="wps">
          <w:drawing>
            <wp:anchor distT="0" distB="0" distL="0" distR="0" simplePos="0" relativeHeight="251658247" behindDoc="0" locked="0" layoutInCell="1" allowOverlap="1" wp14:anchorId="128A0145" wp14:editId="6A07C59C">
              <wp:simplePos x="635" y="635"/>
              <wp:positionH relativeFrom="page">
                <wp:align>center</wp:align>
              </wp:positionH>
              <wp:positionV relativeFrom="page">
                <wp:align>top</wp:align>
              </wp:positionV>
              <wp:extent cx="551815" cy="404495"/>
              <wp:effectExtent l="0" t="0" r="635" b="14605"/>
              <wp:wrapNone/>
              <wp:docPr id="14747189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572FDC" w14:textId="58D3C105"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A014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1572FDC" w14:textId="58D3C105"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8465" w14:textId="58C4608B" w:rsidR="00BA3523" w:rsidRPr="00660EA7" w:rsidRDefault="0098369C" w:rsidP="00660EA7">
    <w:pPr>
      <w:pStyle w:val="Header"/>
    </w:pPr>
    <w:r>
      <w:rPr>
        <w:noProof/>
      </w:rPr>
      <w:pict w14:anchorId="211FB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83939" o:spid="_x0000_s1027" type="#_x0000_t136" style="position:absolute;left:0;text-align:left;margin-left:0;margin-top:0;width:399.65pt;height:239.8pt;rotation:315;z-index:-2516520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F77C3" w:rsidRPr="00660EA7">
      <w:t>Toxicant default guideline values for aquatic ecosystem protection: Fipronil in marine water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6485" w14:textId="670857B6" w:rsidR="00624E9B" w:rsidRDefault="0098369C">
    <w:pPr>
      <w:pStyle w:val="Header"/>
    </w:pPr>
    <w:r>
      <w:rPr>
        <w:noProof/>
      </w:rPr>
      <w:pict w14:anchorId="291D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83937" o:spid="_x0000_s1025" type="#_x0000_t136" style="position:absolute;left:0;text-align:left;margin-left:0;margin-top:0;width:399.65pt;height:239.8pt;rotation:315;z-index:-2516561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24E9B">
      <w:rPr>
        <w:noProof/>
        <w:lang w:eastAsia="en-AU"/>
      </w:rPr>
      <w:drawing>
        <wp:anchor distT="0" distB="0" distL="114300" distR="114300" simplePos="0" relativeHeight="251658240" behindDoc="1" locked="0" layoutInCell="1" allowOverlap="1" wp14:anchorId="2E909A1E" wp14:editId="3C93BBC6">
          <wp:simplePos x="0" y="0"/>
          <wp:positionH relativeFrom="column">
            <wp:posOffset>-883920</wp:posOffset>
          </wp:positionH>
          <wp:positionV relativeFrom="paragraph">
            <wp:posOffset>-350520</wp:posOffset>
          </wp:positionV>
          <wp:extent cx="7556361" cy="10687529"/>
          <wp:effectExtent l="0" t="0" r="6985" b="0"/>
          <wp:wrapNone/>
          <wp:docPr id="1026345315" name="Picture 1026345315" descr="Water Quality Guidelines is a joint initiative of the Australian and New Zealand governments, in partnership with the Australian states and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2834_1216_Water Quality guidelines-blank-W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361" cy="10687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3F9C" w14:textId="385C12A1" w:rsidR="00CB535F" w:rsidRDefault="0098369C">
    <w:pPr>
      <w:pStyle w:val="Header"/>
    </w:pPr>
    <w:r>
      <w:rPr>
        <w:noProof/>
      </w:rPr>
      <w:pict w14:anchorId="2A311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83941" o:spid="_x0000_s1029" type="#_x0000_t136" style="position:absolute;left:0;text-align:left;margin-left:0;margin-top:0;width:399.65pt;height:239.8pt;rotation:315;z-index:-2516479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B535F">
      <w:rPr>
        <w:noProof/>
      </w:rPr>
      <mc:AlternateContent>
        <mc:Choice Requires="wps">
          <w:drawing>
            <wp:anchor distT="0" distB="0" distL="0" distR="0" simplePos="0" relativeHeight="251658248" behindDoc="0" locked="0" layoutInCell="1" allowOverlap="1" wp14:anchorId="5E04C6F6" wp14:editId="623DE1C0">
              <wp:simplePos x="635" y="635"/>
              <wp:positionH relativeFrom="page">
                <wp:align>center</wp:align>
              </wp:positionH>
              <wp:positionV relativeFrom="page">
                <wp:align>top</wp:align>
              </wp:positionV>
              <wp:extent cx="551815" cy="404495"/>
              <wp:effectExtent l="0" t="0" r="635" b="14605"/>
              <wp:wrapNone/>
              <wp:docPr id="3627544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95530D" w14:textId="64A0192C"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04C6F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7D95530D" w14:textId="64A0192C"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EA66" w14:textId="0177F50C" w:rsidR="00455119" w:rsidRPr="00660EA7" w:rsidRDefault="0098369C" w:rsidP="00455119">
    <w:pPr>
      <w:pStyle w:val="Header"/>
    </w:pPr>
    <w:r>
      <w:rPr>
        <w:noProof/>
      </w:rPr>
      <w:pict w14:anchorId="58D1B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83942" o:spid="_x0000_s1030" type="#_x0000_t136" style="position:absolute;left:0;text-align:left;margin-left:0;margin-top:0;width:399.65pt;height:239.8pt;rotation:315;z-index:-2516459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55119" w:rsidRPr="00660EA7">
      <w:t>Toxicant default guideline values for aquatic ecosystem protection: Fipronil in marine water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5258" w14:textId="32DA2E5C" w:rsidR="006D5D93" w:rsidRDefault="0098369C">
    <w:pPr>
      <w:pStyle w:val="Header"/>
    </w:pPr>
    <w:r>
      <w:rPr>
        <w:noProof/>
      </w:rPr>
      <w:pict w14:anchorId="5DD79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83940" o:spid="_x0000_s1028" type="#_x0000_t136" style="position:absolute;left:0;text-align:left;margin-left:0;margin-top:0;width:399.65pt;height:239.8pt;rotation:315;z-index:-2516500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B535F">
      <w:rPr>
        <w:noProof/>
      </w:rPr>
      <mc:AlternateContent>
        <mc:Choice Requires="wps">
          <w:drawing>
            <wp:anchor distT="0" distB="0" distL="0" distR="0" simplePos="0" relativeHeight="251658243" behindDoc="0" locked="0" layoutInCell="1" allowOverlap="1" wp14:anchorId="3DACDE2F" wp14:editId="1E2A6537">
              <wp:simplePos x="635" y="635"/>
              <wp:positionH relativeFrom="page">
                <wp:align>center</wp:align>
              </wp:positionH>
              <wp:positionV relativeFrom="page">
                <wp:align>top</wp:align>
              </wp:positionV>
              <wp:extent cx="551815" cy="404495"/>
              <wp:effectExtent l="0" t="0" r="635" b="14605"/>
              <wp:wrapNone/>
              <wp:docPr id="15864194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372C4C" w14:textId="2DAB2286"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CDE2F"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6372C4C" w14:textId="2DAB2286" w:rsidR="00CB535F" w:rsidRPr="00CB535F" w:rsidRDefault="00CB535F" w:rsidP="00CB535F">
                    <w:pPr>
                      <w:spacing w:after="0"/>
                      <w:rPr>
                        <w:rFonts w:ascii="Calibri" w:eastAsia="Calibri" w:hAnsi="Calibri" w:cs="Calibri"/>
                        <w:noProof/>
                        <w:color w:val="FF0000"/>
                        <w:sz w:val="24"/>
                        <w:szCs w:val="24"/>
                      </w:rPr>
                    </w:pPr>
                    <w:r w:rsidRPr="00CB535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50"/>
    <w:multiLevelType w:val="multilevel"/>
    <w:tmpl w:val="7102B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146481"/>
    <w:multiLevelType w:val="hybridMultilevel"/>
    <w:tmpl w:val="7D6E6738"/>
    <w:lvl w:ilvl="0" w:tplc="0310BC0A">
      <w:start w:val="202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02357"/>
    <w:multiLevelType w:val="hybridMultilevel"/>
    <w:tmpl w:val="CDC0CB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C4279"/>
    <w:multiLevelType w:val="hybridMultilevel"/>
    <w:tmpl w:val="10980862"/>
    <w:lvl w:ilvl="0" w:tplc="0C16FC18">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9A831E8"/>
    <w:multiLevelType w:val="multilevel"/>
    <w:tmpl w:val="88964F4C"/>
    <w:styleLink w:val="heading"/>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15:restartNumberingAfterBreak="0">
    <w:nsid w:val="0FF73C7F"/>
    <w:multiLevelType w:val="multilevel"/>
    <w:tmpl w:val="757ED760"/>
    <w:styleLink w:val="Style1"/>
    <w:lvl w:ilvl="0">
      <w:start w:val="1"/>
      <w:numFmt w:val="decimal"/>
      <w:pStyle w:val="Heading2"/>
      <w:lvlText w:val="%1"/>
      <w:lvlJc w:val="left"/>
      <w:pPr>
        <w:ind w:left="680" w:hanging="680"/>
      </w:pPr>
      <w:rPr>
        <w:rFonts w:hint="default"/>
        <w:b w:val="0"/>
        <w:bCs w:val="0"/>
        <w:i w:val="0"/>
        <w:iCs w:val="0"/>
        <w:caps w:val="0"/>
        <w:smallCaps w:val="0"/>
        <w:strike w:val="0"/>
        <w:dstrike w:val="0"/>
        <w:noProof w:val="0"/>
        <w:vanish w:val="0"/>
        <w:color w:val="427BA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680" w:hanging="680"/>
      </w:pPr>
      <w:rPr>
        <w:rFonts w:hint="default"/>
      </w:rPr>
    </w:lvl>
    <w:lvl w:ilvl="2">
      <w:start w:val="1"/>
      <w:numFmt w:val="decimal"/>
      <w:pStyle w:val="Heading4"/>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righ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right"/>
      <w:pPr>
        <w:ind w:left="680" w:hanging="680"/>
      </w:pPr>
      <w:rPr>
        <w:rFonts w:hint="default"/>
      </w:rPr>
    </w:lvl>
  </w:abstractNum>
  <w:abstractNum w:abstractNumId="6" w15:restartNumberingAfterBreak="0">
    <w:nsid w:val="1540635F"/>
    <w:multiLevelType w:val="hybridMultilevel"/>
    <w:tmpl w:val="EF1473BA"/>
    <w:lvl w:ilvl="0" w:tplc="29CCC0E8">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FA091E"/>
    <w:multiLevelType w:val="multilevel"/>
    <w:tmpl w:val="757ED760"/>
    <w:numStyleLink w:val="Style1"/>
  </w:abstractNum>
  <w:abstractNum w:abstractNumId="8"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636E79"/>
    <w:multiLevelType w:val="multilevel"/>
    <w:tmpl w:val="C32AB9AA"/>
    <w:styleLink w:val="Headings"/>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10" w15:restartNumberingAfterBreak="0">
    <w:nsid w:val="2D595B46"/>
    <w:multiLevelType w:val="multilevel"/>
    <w:tmpl w:val="C32AB9AA"/>
    <w:numStyleLink w:val="ListNumber1"/>
  </w:abstractNum>
  <w:abstractNum w:abstractNumId="11" w15:restartNumberingAfterBreak="0">
    <w:nsid w:val="32E825F9"/>
    <w:multiLevelType w:val="multilevel"/>
    <w:tmpl w:val="311EB4D2"/>
    <w:styleLink w:val="caption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360A5E93"/>
    <w:multiLevelType w:val="hybridMultilevel"/>
    <w:tmpl w:val="EC24E96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B54DEF"/>
    <w:multiLevelType w:val="multilevel"/>
    <w:tmpl w:val="C32AB9AA"/>
    <w:styleLink w:val="ListNumber1"/>
    <w:lvl w:ilvl="0">
      <w:start w:val="1"/>
      <w:numFmt w:val="decimal"/>
      <w:pStyle w:val="ListNumber"/>
      <w:lvlText w:val="%1)"/>
      <w:lvlJc w:val="left"/>
      <w:pPr>
        <w:tabs>
          <w:tab w:val="num" w:pos="397"/>
        </w:tabs>
        <w:ind w:left="397" w:hanging="397"/>
      </w:pPr>
      <w:rPr>
        <w:rFonts w:hint="default"/>
        <w:color w:val="auto"/>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14" w15:restartNumberingAfterBreak="0">
    <w:nsid w:val="42CD6807"/>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B0404"/>
    <w:multiLevelType w:val="hybridMultilevel"/>
    <w:tmpl w:val="B39AC980"/>
    <w:lvl w:ilvl="0" w:tplc="CBB696B2">
      <w:numFmt w:val="bullet"/>
      <w:lvlText w:val="-"/>
      <w:lvlJc w:val="left"/>
      <w:pPr>
        <w:ind w:left="720" w:hanging="360"/>
      </w:pPr>
      <w:rPr>
        <w:rFonts w:ascii="Calibri" w:eastAsia="Calibri" w:hAnsi="Calibri" w:cs="Calibr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861DE6"/>
    <w:multiLevelType w:val="multilevel"/>
    <w:tmpl w:val="6346ED0E"/>
    <w:styleLink w:val="listbullets"/>
    <w:lvl w:ilvl="0">
      <w:start w:val="1"/>
      <w:numFmt w:val="bullet"/>
      <w:pStyle w:val="ListBullet"/>
      <w:lvlText w:val=""/>
      <w:lvlJc w:val="left"/>
      <w:pPr>
        <w:tabs>
          <w:tab w:val="num" w:pos="567"/>
        </w:tabs>
        <w:ind w:left="397" w:hanging="397"/>
      </w:pPr>
      <w:rPr>
        <w:rFonts w:ascii="Symbol" w:hAnsi="Symbol" w:hint="default"/>
        <w:color w:val="auto"/>
      </w:rPr>
    </w:lvl>
    <w:lvl w:ilvl="1">
      <w:start w:val="1"/>
      <w:numFmt w:val="bullet"/>
      <w:pStyle w:val="ListBullet2"/>
      <w:lvlText w:val=""/>
      <w:lvlJc w:val="left"/>
      <w:pPr>
        <w:tabs>
          <w:tab w:val="num" w:pos="794"/>
        </w:tabs>
        <w:ind w:left="397" w:firstLine="0"/>
      </w:pPr>
      <w:rPr>
        <w:rFonts w:ascii="Symbol" w:hAnsi="Symbol" w:hint="default"/>
      </w:rPr>
    </w:lvl>
    <w:lvl w:ilvl="2">
      <w:start w:val="1"/>
      <w:numFmt w:val="bullet"/>
      <w:lvlText w:val=""/>
      <w:lvlJc w:val="left"/>
      <w:pPr>
        <w:tabs>
          <w:tab w:val="num" w:pos="567"/>
        </w:tabs>
        <w:ind w:left="567" w:hanging="567"/>
      </w:pPr>
      <w:rPr>
        <w:rFonts w:ascii="Wingdings" w:hAnsi="Wingdings" w:hint="default"/>
      </w:rPr>
    </w:lvl>
    <w:lvl w:ilvl="3">
      <w:start w:val="1"/>
      <w:numFmt w:val="bullet"/>
      <w:lvlText w:val=""/>
      <w:lvlJc w:val="left"/>
      <w:pPr>
        <w:tabs>
          <w:tab w:val="num" w:pos="567"/>
        </w:tabs>
        <w:ind w:left="567" w:hanging="567"/>
      </w:pPr>
      <w:rPr>
        <w:rFonts w:ascii="Symbol" w:hAnsi="Symbol" w:hint="default"/>
      </w:rPr>
    </w:lvl>
    <w:lvl w:ilvl="4">
      <w:start w:val="1"/>
      <w:numFmt w:val="bullet"/>
      <w:lvlText w:val="o"/>
      <w:lvlJc w:val="left"/>
      <w:pPr>
        <w:tabs>
          <w:tab w:val="num" w:pos="567"/>
        </w:tabs>
        <w:ind w:left="567" w:hanging="567"/>
      </w:pPr>
      <w:rPr>
        <w:rFonts w:ascii="Courier New" w:hAnsi="Courier New" w:cs="Courier New" w:hint="default"/>
      </w:rPr>
    </w:lvl>
    <w:lvl w:ilvl="5">
      <w:start w:val="1"/>
      <w:numFmt w:val="bullet"/>
      <w:lvlText w:val=""/>
      <w:lvlJc w:val="left"/>
      <w:pPr>
        <w:tabs>
          <w:tab w:val="num" w:pos="567"/>
        </w:tabs>
        <w:ind w:left="567" w:hanging="567"/>
      </w:pPr>
      <w:rPr>
        <w:rFonts w:ascii="Wingdings" w:hAnsi="Wingdings" w:hint="default"/>
      </w:rPr>
    </w:lvl>
    <w:lvl w:ilvl="6">
      <w:start w:val="1"/>
      <w:numFmt w:val="bullet"/>
      <w:lvlText w:val=""/>
      <w:lvlJc w:val="left"/>
      <w:pPr>
        <w:tabs>
          <w:tab w:val="num" w:pos="567"/>
        </w:tabs>
        <w:ind w:left="567" w:hanging="567"/>
      </w:pPr>
      <w:rPr>
        <w:rFonts w:ascii="Symbol" w:hAnsi="Symbol" w:hint="default"/>
      </w:rPr>
    </w:lvl>
    <w:lvl w:ilvl="7">
      <w:start w:val="1"/>
      <w:numFmt w:val="bullet"/>
      <w:lvlText w:val="o"/>
      <w:lvlJc w:val="left"/>
      <w:pPr>
        <w:tabs>
          <w:tab w:val="num" w:pos="567"/>
        </w:tabs>
        <w:ind w:left="567" w:hanging="567"/>
      </w:pPr>
      <w:rPr>
        <w:rFonts w:ascii="Courier New" w:hAnsi="Courier New" w:cs="Courier New" w:hint="default"/>
      </w:rPr>
    </w:lvl>
    <w:lvl w:ilvl="8">
      <w:start w:val="1"/>
      <w:numFmt w:val="bullet"/>
      <w:lvlText w:val=""/>
      <w:lvlJc w:val="left"/>
      <w:pPr>
        <w:tabs>
          <w:tab w:val="num" w:pos="567"/>
        </w:tabs>
        <w:ind w:left="567" w:hanging="567"/>
      </w:pPr>
      <w:rPr>
        <w:rFonts w:ascii="Wingdings" w:hAnsi="Wingdings" w:hint="default"/>
      </w:rPr>
    </w:lvl>
  </w:abstractNum>
  <w:abstractNum w:abstractNumId="18" w15:restartNumberingAfterBreak="0">
    <w:nsid w:val="4E6C4184"/>
    <w:multiLevelType w:val="hybridMultilevel"/>
    <w:tmpl w:val="29EC93FA"/>
    <w:lvl w:ilvl="0" w:tplc="C30EA074">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7B91237"/>
    <w:multiLevelType w:val="hybridMultilevel"/>
    <w:tmpl w:val="0532AF24"/>
    <w:lvl w:ilvl="0" w:tplc="1B8ACC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6B607FB6"/>
    <w:multiLevelType w:val="hybridMultilevel"/>
    <w:tmpl w:val="82DEF7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636387C"/>
    <w:multiLevelType w:val="multilevel"/>
    <w:tmpl w:val="6346ED0E"/>
    <w:numStyleLink w:val="listbullets"/>
  </w:abstractNum>
  <w:abstractNum w:abstractNumId="23" w15:restartNumberingAfterBreak="0">
    <w:nsid w:val="77B51CAA"/>
    <w:multiLevelType w:val="hybridMultilevel"/>
    <w:tmpl w:val="38FC6D46"/>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B665895"/>
    <w:multiLevelType w:val="hybridMultilevel"/>
    <w:tmpl w:val="399C6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5116886">
    <w:abstractNumId w:val="16"/>
  </w:num>
  <w:num w:numId="2" w16cid:durableId="1815491697">
    <w:abstractNumId w:val="8"/>
  </w:num>
  <w:num w:numId="3" w16cid:durableId="2122339016">
    <w:abstractNumId w:val="20"/>
  </w:num>
  <w:num w:numId="4" w16cid:durableId="731927156">
    <w:abstractNumId w:val="9"/>
  </w:num>
  <w:num w:numId="5" w16cid:durableId="472521440">
    <w:abstractNumId w:val="11"/>
  </w:num>
  <w:num w:numId="6" w16cid:durableId="194081477">
    <w:abstractNumId w:val="17"/>
  </w:num>
  <w:num w:numId="7" w16cid:durableId="261884011">
    <w:abstractNumId w:val="22"/>
  </w:num>
  <w:num w:numId="8" w16cid:durableId="449470541">
    <w:abstractNumId w:val="13"/>
  </w:num>
  <w:num w:numId="9" w16cid:durableId="1449859790">
    <w:abstractNumId w:val="10"/>
  </w:num>
  <w:num w:numId="10" w16cid:durableId="1734043058">
    <w:abstractNumId w:val="4"/>
  </w:num>
  <w:num w:numId="11" w16cid:durableId="1939215604">
    <w:abstractNumId w:val="5"/>
  </w:num>
  <w:num w:numId="12" w16cid:durableId="144247899">
    <w:abstractNumId w:val="7"/>
  </w:num>
  <w:num w:numId="13" w16cid:durableId="1227110219">
    <w:abstractNumId w:val="14"/>
  </w:num>
  <w:num w:numId="14" w16cid:durableId="2041976314">
    <w:abstractNumId w:val="3"/>
  </w:num>
  <w:num w:numId="15" w16cid:durableId="779187003">
    <w:abstractNumId w:val="18"/>
  </w:num>
  <w:num w:numId="16" w16cid:durableId="2084718911">
    <w:abstractNumId w:val="0"/>
  </w:num>
  <w:num w:numId="17" w16cid:durableId="158468626">
    <w:abstractNumId w:val="23"/>
  </w:num>
  <w:num w:numId="18" w16cid:durableId="2032296934">
    <w:abstractNumId w:val="6"/>
  </w:num>
  <w:num w:numId="19" w16cid:durableId="1672173039">
    <w:abstractNumId w:val="12"/>
  </w:num>
  <w:num w:numId="20" w16cid:durableId="62529817">
    <w:abstractNumId w:val="21"/>
  </w:num>
  <w:num w:numId="21" w16cid:durableId="2069986972">
    <w:abstractNumId w:val="2"/>
  </w:num>
  <w:num w:numId="22" w16cid:durableId="1474716065">
    <w:abstractNumId w:val="7"/>
  </w:num>
  <w:num w:numId="23" w16cid:durableId="1005016657">
    <w:abstractNumId w:val="7"/>
  </w:num>
  <w:num w:numId="24" w16cid:durableId="950864539">
    <w:abstractNumId w:val="15"/>
  </w:num>
  <w:num w:numId="25" w16cid:durableId="1508402018">
    <w:abstractNumId w:val="7"/>
  </w:num>
  <w:num w:numId="26" w16cid:durableId="423690499">
    <w:abstractNumId w:val="19"/>
  </w:num>
  <w:num w:numId="27" w16cid:durableId="1630012729">
    <w:abstractNumId w:val="1"/>
  </w:num>
  <w:num w:numId="28" w16cid:durableId="196333746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oNotTrackFormatting/>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J:\Common\RefManager Catalogues\Styles\BA Output Style.os&lt;/StartingRefnum&gt;&lt;FontName&gt;Cambria&lt;/FontName&gt;&lt;FontSize&gt;11&lt;/FontSize&gt;&lt;ReflistTitle&gt;Reference List&lt;/ReflistTitle&gt;&lt;SpaceAfter&gt;1&lt;/SpaceAfter&gt;&lt;ReflistOrder&gt;1&lt;/ReflistOrder&gt;&lt;CitationOrder&gt;2&lt;/CitationOrder&gt;&lt;NumberReferences&gt;0&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Clean Plant Database&lt;/item&gt;&lt;/Libraries&gt;&lt;/Databases&gt;"/>
  </w:docVars>
  <w:rsids>
    <w:rsidRoot w:val="001C0D1C"/>
    <w:rsid w:val="00001875"/>
    <w:rsid w:val="00001FDF"/>
    <w:rsid w:val="00001FEE"/>
    <w:rsid w:val="000068F8"/>
    <w:rsid w:val="00007CE0"/>
    <w:rsid w:val="000200DB"/>
    <w:rsid w:val="0002025F"/>
    <w:rsid w:val="000209A3"/>
    <w:rsid w:val="000209C2"/>
    <w:rsid w:val="00023E9F"/>
    <w:rsid w:val="00024C6F"/>
    <w:rsid w:val="00025C58"/>
    <w:rsid w:val="00026B81"/>
    <w:rsid w:val="00030439"/>
    <w:rsid w:val="00032CD7"/>
    <w:rsid w:val="0003422F"/>
    <w:rsid w:val="00034512"/>
    <w:rsid w:val="00035918"/>
    <w:rsid w:val="00046A2A"/>
    <w:rsid w:val="0004790F"/>
    <w:rsid w:val="00050D0B"/>
    <w:rsid w:val="00052841"/>
    <w:rsid w:val="00053BF0"/>
    <w:rsid w:val="00054B13"/>
    <w:rsid w:val="0005548B"/>
    <w:rsid w:val="00055895"/>
    <w:rsid w:val="000571DC"/>
    <w:rsid w:val="00061882"/>
    <w:rsid w:val="000619A0"/>
    <w:rsid w:val="00062058"/>
    <w:rsid w:val="0006231D"/>
    <w:rsid w:val="00063A12"/>
    <w:rsid w:val="0006572D"/>
    <w:rsid w:val="0006645B"/>
    <w:rsid w:val="00067E39"/>
    <w:rsid w:val="000756BD"/>
    <w:rsid w:val="000771F9"/>
    <w:rsid w:val="000772DF"/>
    <w:rsid w:val="000800B7"/>
    <w:rsid w:val="0008065D"/>
    <w:rsid w:val="0008126C"/>
    <w:rsid w:val="00084E30"/>
    <w:rsid w:val="0009022B"/>
    <w:rsid w:val="00091C82"/>
    <w:rsid w:val="000931E1"/>
    <w:rsid w:val="0009522E"/>
    <w:rsid w:val="00095B37"/>
    <w:rsid w:val="00096129"/>
    <w:rsid w:val="000A019D"/>
    <w:rsid w:val="000A049E"/>
    <w:rsid w:val="000A0B8B"/>
    <w:rsid w:val="000A109B"/>
    <w:rsid w:val="000A1477"/>
    <w:rsid w:val="000A229E"/>
    <w:rsid w:val="000A41AA"/>
    <w:rsid w:val="000A490F"/>
    <w:rsid w:val="000A5AD2"/>
    <w:rsid w:val="000A5EB3"/>
    <w:rsid w:val="000A6869"/>
    <w:rsid w:val="000A68FE"/>
    <w:rsid w:val="000B0883"/>
    <w:rsid w:val="000B09ED"/>
    <w:rsid w:val="000B0AE0"/>
    <w:rsid w:val="000B11CC"/>
    <w:rsid w:val="000B43C8"/>
    <w:rsid w:val="000B4B75"/>
    <w:rsid w:val="000B7EC2"/>
    <w:rsid w:val="000C1E50"/>
    <w:rsid w:val="000C26D0"/>
    <w:rsid w:val="000C358B"/>
    <w:rsid w:val="000C35CE"/>
    <w:rsid w:val="000C3FB4"/>
    <w:rsid w:val="000C42D9"/>
    <w:rsid w:val="000C4A8C"/>
    <w:rsid w:val="000C515E"/>
    <w:rsid w:val="000C583A"/>
    <w:rsid w:val="000C7AB2"/>
    <w:rsid w:val="000D3F30"/>
    <w:rsid w:val="000D41E6"/>
    <w:rsid w:val="000D565F"/>
    <w:rsid w:val="000D5D89"/>
    <w:rsid w:val="000D6B20"/>
    <w:rsid w:val="000E0EDE"/>
    <w:rsid w:val="000E2A6F"/>
    <w:rsid w:val="000E3294"/>
    <w:rsid w:val="000E40C1"/>
    <w:rsid w:val="000E4446"/>
    <w:rsid w:val="000E7176"/>
    <w:rsid w:val="000F0197"/>
    <w:rsid w:val="000F0A7D"/>
    <w:rsid w:val="000F213E"/>
    <w:rsid w:val="000F7776"/>
    <w:rsid w:val="00100831"/>
    <w:rsid w:val="00100FFB"/>
    <w:rsid w:val="0010525B"/>
    <w:rsid w:val="00105C46"/>
    <w:rsid w:val="0011424E"/>
    <w:rsid w:val="00117BC9"/>
    <w:rsid w:val="001207F7"/>
    <w:rsid w:val="00120AD8"/>
    <w:rsid w:val="00122609"/>
    <w:rsid w:val="0012271B"/>
    <w:rsid w:val="00125A42"/>
    <w:rsid w:val="00127148"/>
    <w:rsid w:val="001279A5"/>
    <w:rsid w:val="001303C0"/>
    <w:rsid w:val="00130420"/>
    <w:rsid w:val="001305D8"/>
    <w:rsid w:val="00131395"/>
    <w:rsid w:val="001317DE"/>
    <w:rsid w:val="00132064"/>
    <w:rsid w:val="00137739"/>
    <w:rsid w:val="001379F0"/>
    <w:rsid w:val="00137F62"/>
    <w:rsid w:val="00140BF0"/>
    <w:rsid w:val="00140D72"/>
    <w:rsid w:val="00142306"/>
    <w:rsid w:val="00143CDC"/>
    <w:rsid w:val="001467E3"/>
    <w:rsid w:val="00147F1E"/>
    <w:rsid w:val="00151F22"/>
    <w:rsid w:val="001532E1"/>
    <w:rsid w:val="00157A69"/>
    <w:rsid w:val="001601D6"/>
    <w:rsid w:val="00160A31"/>
    <w:rsid w:val="00160AEC"/>
    <w:rsid w:val="001611EA"/>
    <w:rsid w:val="00161CDD"/>
    <w:rsid w:val="00162997"/>
    <w:rsid w:val="001639CC"/>
    <w:rsid w:val="001650BE"/>
    <w:rsid w:val="00165BD4"/>
    <w:rsid w:val="0016777B"/>
    <w:rsid w:val="00170451"/>
    <w:rsid w:val="001737C3"/>
    <w:rsid w:val="00176876"/>
    <w:rsid w:val="00177832"/>
    <w:rsid w:val="00181E45"/>
    <w:rsid w:val="00184B0C"/>
    <w:rsid w:val="00184D7F"/>
    <w:rsid w:val="0018610A"/>
    <w:rsid w:val="00187F31"/>
    <w:rsid w:val="0019135D"/>
    <w:rsid w:val="00191826"/>
    <w:rsid w:val="00196FA0"/>
    <w:rsid w:val="001970D5"/>
    <w:rsid w:val="001A03C6"/>
    <w:rsid w:val="001A3828"/>
    <w:rsid w:val="001A6D0E"/>
    <w:rsid w:val="001A702C"/>
    <w:rsid w:val="001B1DB2"/>
    <w:rsid w:val="001B1E53"/>
    <w:rsid w:val="001B1E76"/>
    <w:rsid w:val="001B3C0E"/>
    <w:rsid w:val="001C0D1C"/>
    <w:rsid w:val="001C1A1B"/>
    <w:rsid w:val="001C260B"/>
    <w:rsid w:val="001C3BFC"/>
    <w:rsid w:val="001C3D7E"/>
    <w:rsid w:val="001C4A1E"/>
    <w:rsid w:val="001C6A23"/>
    <w:rsid w:val="001D0AB4"/>
    <w:rsid w:val="001D34EC"/>
    <w:rsid w:val="001D3A34"/>
    <w:rsid w:val="001D6BAA"/>
    <w:rsid w:val="001E054C"/>
    <w:rsid w:val="001E3B18"/>
    <w:rsid w:val="001E4278"/>
    <w:rsid w:val="001E48DD"/>
    <w:rsid w:val="001E49E2"/>
    <w:rsid w:val="001E6131"/>
    <w:rsid w:val="001F251D"/>
    <w:rsid w:val="001F2774"/>
    <w:rsid w:val="001F2CEF"/>
    <w:rsid w:val="001F38BE"/>
    <w:rsid w:val="001F64CA"/>
    <w:rsid w:val="001F7260"/>
    <w:rsid w:val="002001C6"/>
    <w:rsid w:val="0020233A"/>
    <w:rsid w:val="002069B7"/>
    <w:rsid w:val="00207059"/>
    <w:rsid w:val="00207173"/>
    <w:rsid w:val="002077D5"/>
    <w:rsid w:val="002104D0"/>
    <w:rsid w:val="002138BD"/>
    <w:rsid w:val="00214C97"/>
    <w:rsid w:val="00221A7C"/>
    <w:rsid w:val="00226E12"/>
    <w:rsid w:val="002305E8"/>
    <w:rsid w:val="0023068B"/>
    <w:rsid w:val="00233BDC"/>
    <w:rsid w:val="00234537"/>
    <w:rsid w:val="002346B6"/>
    <w:rsid w:val="00234E82"/>
    <w:rsid w:val="00240CC7"/>
    <w:rsid w:val="002410CF"/>
    <w:rsid w:val="00241234"/>
    <w:rsid w:val="00241285"/>
    <w:rsid w:val="0024321D"/>
    <w:rsid w:val="0024455C"/>
    <w:rsid w:val="00244E31"/>
    <w:rsid w:val="00246019"/>
    <w:rsid w:val="0024732E"/>
    <w:rsid w:val="00251BD8"/>
    <w:rsid w:val="00254858"/>
    <w:rsid w:val="00255F08"/>
    <w:rsid w:val="0026069A"/>
    <w:rsid w:val="00260E66"/>
    <w:rsid w:val="00261655"/>
    <w:rsid w:val="00261716"/>
    <w:rsid w:val="002619E4"/>
    <w:rsid w:val="002623AF"/>
    <w:rsid w:val="00263192"/>
    <w:rsid w:val="00263778"/>
    <w:rsid w:val="00264AD5"/>
    <w:rsid w:val="00264C11"/>
    <w:rsid w:val="00265FC0"/>
    <w:rsid w:val="0026645C"/>
    <w:rsid w:val="00266CAB"/>
    <w:rsid w:val="00267B51"/>
    <w:rsid w:val="00271082"/>
    <w:rsid w:val="002761AB"/>
    <w:rsid w:val="00276A4D"/>
    <w:rsid w:val="0028177B"/>
    <w:rsid w:val="0028281E"/>
    <w:rsid w:val="0028301C"/>
    <w:rsid w:val="00283C7C"/>
    <w:rsid w:val="0028526A"/>
    <w:rsid w:val="00286DF9"/>
    <w:rsid w:val="00287616"/>
    <w:rsid w:val="00290003"/>
    <w:rsid w:val="002906F7"/>
    <w:rsid w:val="00290B32"/>
    <w:rsid w:val="00291EA2"/>
    <w:rsid w:val="002922BF"/>
    <w:rsid w:val="002922C2"/>
    <w:rsid w:val="002948C5"/>
    <w:rsid w:val="00296870"/>
    <w:rsid w:val="00297B5C"/>
    <w:rsid w:val="002A1A86"/>
    <w:rsid w:val="002A3FEC"/>
    <w:rsid w:val="002A64AF"/>
    <w:rsid w:val="002A68F9"/>
    <w:rsid w:val="002A757E"/>
    <w:rsid w:val="002A76F2"/>
    <w:rsid w:val="002B1194"/>
    <w:rsid w:val="002B4B19"/>
    <w:rsid w:val="002B4DA6"/>
    <w:rsid w:val="002B5648"/>
    <w:rsid w:val="002B6E7F"/>
    <w:rsid w:val="002C0386"/>
    <w:rsid w:val="002C3944"/>
    <w:rsid w:val="002C46AC"/>
    <w:rsid w:val="002C492C"/>
    <w:rsid w:val="002C5909"/>
    <w:rsid w:val="002D061E"/>
    <w:rsid w:val="002D1A6D"/>
    <w:rsid w:val="002D2596"/>
    <w:rsid w:val="002D266F"/>
    <w:rsid w:val="002D2BAB"/>
    <w:rsid w:val="002D2D46"/>
    <w:rsid w:val="002D33C5"/>
    <w:rsid w:val="002D3AA2"/>
    <w:rsid w:val="002D4546"/>
    <w:rsid w:val="002D4AB9"/>
    <w:rsid w:val="002D787F"/>
    <w:rsid w:val="002E0247"/>
    <w:rsid w:val="002E07D8"/>
    <w:rsid w:val="002E1C0C"/>
    <w:rsid w:val="002E1C7E"/>
    <w:rsid w:val="002E249E"/>
    <w:rsid w:val="002E2BAE"/>
    <w:rsid w:val="002E5367"/>
    <w:rsid w:val="002F32E9"/>
    <w:rsid w:val="002F36A0"/>
    <w:rsid w:val="002F4BCA"/>
    <w:rsid w:val="002F6266"/>
    <w:rsid w:val="002F6D65"/>
    <w:rsid w:val="002F7A68"/>
    <w:rsid w:val="00301101"/>
    <w:rsid w:val="00301B70"/>
    <w:rsid w:val="0030277B"/>
    <w:rsid w:val="003166B2"/>
    <w:rsid w:val="00316B90"/>
    <w:rsid w:val="00317214"/>
    <w:rsid w:val="00317710"/>
    <w:rsid w:val="00320DA1"/>
    <w:rsid w:val="003210E2"/>
    <w:rsid w:val="00322764"/>
    <w:rsid w:val="003232C1"/>
    <w:rsid w:val="00325019"/>
    <w:rsid w:val="0032547F"/>
    <w:rsid w:val="00325E19"/>
    <w:rsid w:val="0032601F"/>
    <w:rsid w:val="00326EAD"/>
    <w:rsid w:val="0032793C"/>
    <w:rsid w:val="0033045C"/>
    <w:rsid w:val="003320FA"/>
    <w:rsid w:val="00332ACC"/>
    <w:rsid w:val="00332E4C"/>
    <w:rsid w:val="003349E9"/>
    <w:rsid w:val="00335EA1"/>
    <w:rsid w:val="003372B9"/>
    <w:rsid w:val="00341A72"/>
    <w:rsid w:val="00342EC3"/>
    <w:rsid w:val="00343147"/>
    <w:rsid w:val="00343E7C"/>
    <w:rsid w:val="0034460E"/>
    <w:rsid w:val="00346B30"/>
    <w:rsid w:val="00347097"/>
    <w:rsid w:val="003547E7"/>
    <w:rsid w:val="00355BD0"/>
    <w:rsid w:val="00357A6F"/>
    <w:rsid w:val="00357AFF"/>
    <w:rsid w:val="00357DD4"/>
    <w:rsid w:val="003607AD"/>
    <w:rsid w:val="00361A94"/>
    <w:rsid w:val="00363C9F"/>
    <w:rsid w:val="0036454E"/>
    <w:rsid w:val="0036478E"/>
    <w:rsid w:val="00364F08"/>
    <w:rsid w:val="00365986"/>
    <w:rsid w:val="00366593"/>
    <w:rsid w:val="00371F6C"/>
    <w:rsid w:val="00372904"/>
    <w:rsid w:val="00372B86"/>
    <w:rsid w:val="00372EB0"/>
    <w:rsid w:val="00373548"/>
    <w:rsid w:val="00373F6E"/>
    <w:rsid w:val="00373FD1"/>
    <w:rsid w:val="003757BB"/>
    <w:rsid w:val="00376043"/>
    <w:rsid w:val="003808CF"/>
    <w:rsid w:val="00381BE9"/>
    <w:rsid w:val="00382D26"/>
    <w:rsid w:val="00384067"/>
    <w:rsid w:val="00385A79"/>
    <w:rsid w:val="003876F4"/>
    <w:rsid w:val="003900B6"/>
    <w:rsid w:val="00390C71"/>
    <w:rsid w:val="00392488"/>
    <w:rsid w:val="00392C0C"/>
    <w:rsid w:val="00394E54"/>
    <w:rsid w:val="003976F1"/>
    <w:rsid w:val="003A075F"/>
    <w:rsid w:val="003A0A7B"/>
    <w:rsid w:val="003A2840"/>
    <w:rsid w:val="003A3A3E"/>
    <w:rsid w:val="003A61F6"/>
    <w:rsid w:val="003A78FD"/>
    <w:rsid w:val="003B011A"/>
    <w:rsid w:val="003B0317"/>
    <w:rsid w:val="003B2199"/>
    <w:rsid w:val="003B577F"/>
    <w:rsid w:val="003B619A"/>
    <w:rsid w:val="003C112A"/>
    <w:rsid w:val="003C188D"/>
    <w:rsid w:val="003C232C"/>
    <w:rsid w:val="003C2CDB"/>
    <w:rsid w:val="003C39CC"/>
    <w:rsid w:val="003C4D43"/>
    <w:rsid w:val="003C5047"/>
    <w:rsid w:val="003C536C"/>
    <w:rsid w:val="003C5F03"/>
    <w:rsid w:val="003C656D"/>
    <w:rsid w:val="003C6742"/>
    <w:rsid w:val="003D042A"/>
    <w:rsid w:val="003D0623"/>
    <w:rsid w:val="003D1ADA"/>
    <w:rsid w:val="003D3A65"/>
    <w:rsid w:val="003D4398"/>
    <w:rsid w:val="003D4A96"/>
    <w:rsid w:val="003D510D"/>
    <w:rsid w:val="003D5712"/>
    <w:rsid w:val="003E1215"/>
    <w:rsid w:val="003E12A3"/>
    <w:rsid w:val="003E1713"/>
    <w:rsid w:val="003E286E"/>
    <w:rsid w:val="003E4D09"/>
    <w:rsid w:val="003E6588"/>
    <w:rsid w:val="003E69C1"/>
    <w:rsid w:val="003E7FD1"/>
    <w:rsid w:val="003F5AB1"/>
    <w:rsid w:val="003F74E0"/>
    <w:rsid w:val="00400F68"/>
    <w:rsid w:val="00401C43"/>
    <w:rsid w:val="00402492"/>
    <w:rsid w:val="004041CE"/>
    <w:rsid w:val="00406D75"/>
    <w:rsid w:val="00407FA9"/>
    <w:rsid w:val="00410BCB"/>
    <w:rsid w:val="00410DB6"/>
    <w:rsid w:val="00411AFF"/>
    <w:rsid w:val="00412C22"/>
    <w:rsid w:val="004139F2"/>
    <w:rsid w:val="00414B8C"/>
    <w:rsid w:val="00415CD7"/>
    <w:rsid w:val="004168F7"/>
    <w:rsid w:val="004172E3"/>
    <w:rsid w:val="00420416"/>
    <w:rsid w:val="004222F0"/>
    <w:rsid w:val="00422ABC"/>
    <w:rsid w:val="00422C18"/>
    <w:rsid w:val="00423E85"/>
    <w:rsid w:val="0043221B"/>
    <w:rsid w:val="0043308B"/>
    <w:rsid w:val="004335A7"/>
    <w:rsid w:val="00440338"/>
    <w:rsid w:val="00441D42"/>
    <w:rsid w:val="00443190"/>
    <w:rsid w:val="004437CE"/>
    <w:rsid w:val="00446A8F"/>
    <w:rsid w:val="00447B14"/>
    <w:rsid w:val="00447B72"/>
    <w:rsid w:val="0045002C"/>
    <w:rsid w:val="00450B97"/>
    <w:rsid w:val="00450FE3"/>
    <w:rsid w:val="00455119"/>
    <w:rsid w:val="004563D8"/>
    <w:rsid w:val="004569E0"/>
    <w:rsid w:val="00461D82"/>
    <w:rsid w:val="00461F12"/>
    <w:rsid w:val="004624D8"/>
    <w:rsid w:val="00462881"/>
    <w:rsid w:val="004628C3"/>
    <w:rsid w:val="00462A8D"/>
    <w:rsid w:val="00463543"/>
    <w:rsid w:val="00463D3F"/>
    <w:rsid w:val="00463DFE"/>
    <w:rsid w:val="00463EFB"/>
    <w:rsid w:val="00464BC3"/>
    <w:rsid w:val="004666AF"/>
    <w:rsid w:val="004672DA"/>
    <w:rsid w:val="0047145B"/>
    <w:rsid w:val="00471D06"/>
    <w:rsid w:val="00472BF1"/>
    <w:rsid w:val="004742C3"/>
    <w:rsid w:val="00475A86"/>
    <w:rsid w:val="00475F5D"/>
    <w:rsid w:val="00476F44"/>
    <w:rsid w:val="00481595"/>
    <w:rsid w:val="00481B62"/>
    <w:rsid w:val="0048313F"/>
    <w:rsid w:val="0048594E"/>
    <w:rsid w:val="004873C6"/>
    <w:rsid w:val="0049437E"/>
    <w:rsid w:val="00495ECC"/>
    <w:rsid w:val="00497A85"/>
    <w:rsid w:val="004A0F8B"/>
    <w:rsid w:val="004A17EF"/>
    <w:rsid w:val="004A2BF9"/>
    <w:rsid w:val="004A2C30"/>
    <w:rsid w:val="004A3032"/>
    <w:rsid w:val="004A71AF"/>
    <w:rsid w:val="004B1060"/>
    <w:rsid w:val="004B136B"/>
    <w:rsid w:val="004B32E0"/>
    <w:rsid w:val="004B3857"/>
    <w:rsid w:val="004B3D85"/>
    <w:rsid w:val="004B4804"/>
    <w:rsid w:val="004B6BFE"/>
    <w:rsid w:val="004B6D59"/>
    <w:rsid w:val="004C4DE2"/>
    <w:rsid w:val="004C7043"/>
    <w:rsid w:val="004D09D3"/>
    <w:rsid w:val="004D442D"/>
    <w:rsid w:val="004D44FF"/>
    <w:rsid w:val="004D52CE"/>
    <w:rsid w:val="004D5D18"/>
    <w:rsid w:val="004D7031"/>
    <w:rsid w:val="004D76A1"/>
    <w:rsid w:val="004E0CB6"/>
    <w:rsid w:val="004E48DC"/>
    <w:rsid w:val="004E574F"/>
    <w:rsid w:val="004E75FD"/>
    <w:rsid w:val="004F142B"/>
    <w:rsid w:val="004F271B"/>
    <w:rsid w:val="004F2A0D"/>
    <w:rsid w:val="004F37B6"/>
    <w:rsid w:val="004F57A1"/>
    <w:rsid w:val="004F6114"/>
    <w:rsid w:val="004F63AE"/>
    <w:rsid w:val="004F78AF"/>
    <w:rsid w:val="0050114E"/>
    <w:rsid w:val="005043AB"/>
    <w:rsid w:val="005043F4"/>
    <w:rsid w:val="005053D4"/>
    <w:rsid w:val="0050663E"/>
    <w:rsid w:val="005075DE"/>
    <w:rsid w:val="00513C62"/>
    <w:rsid w:val="005140A0"/>
    <w:rsid w:val="00516A4E"/>
    <w:rsid w:val="00517D00"/>
    <w:rsid w:val="00520451"/>
    <w:rsid w:val="00521293"/>
    <w:rsid w:val="00521A7C"/>
    <w:rsid w:val="005226BD"/>
    <w:rsid w:val="00522EF7"/>
    <w:rsid w:val="00522FD0"/>
    <w:rsid w:val="005242DD"/>
    <w:rsid w:val="005246B0"/>
    <w:rsid w:val="00530FF8"/>
    <w:rsid w:val="00532C08"/>
    <w:rsid w:val="00533E8F"/>
    <w:rsid w:val="00534184"/>
    <w:rsid w:val="005347DF"/>
    <w:rsid w:val="00535DB0"/>
    <w:rsid w:val="00542DEC"/>
    <w:rsid w:val="005445B7"/>
    <w:rsid w:val="00544B4D"/>
    <w:rsid w:val="005454E3"/>
    <w:rsid w:val="005455BD"/>
    <w:rsid w:val="00546ADF"/>
    <w:rsid w:val="0054706E"/>
    <w:rsid w:val="00550386"/>
    <w:rsid w:val="0055128E"/>
    <w:rsid w:val="0055204B"/>
    <w:rsid w:val="005531E7"/>
    <w:rsid w:val="00555DC1"/>
    <w:rsid w:val="00557258"/>
    <w:rsid w:val="00557CA5"/>
    <w:rsid w:val="00561AD2"/>
    <w:rsid w:val="00561FD5"/>
    <w:rsid w:val="00562D57"/>
    <w:rsid w:val="005664B7"/>
    <w:rsid w:val="00566BEF"/>
    <w:rsid w:val="00570E55"/>
    <w:rsid w:val="005717A0"/>
    <w:rsid w:val="00572111"/>
    <w:rsid w:val="00573EBE"/>
    <w:rsid w:val="0057479C"/>
    <w:rsid w:val="005748D5"/>
    <w:rsid w:val="005755B2"/>
    <w:rsid w:val="00575A08"/>
    <w:rsid w:val="005768C5"/>
    <w:rsid w:val="00581ECC"/>
    <w:rsid w:val="005824D6"/>
    <w:rsid w:val="005826A2"/>
    <w:rsid w:val="00583541"/>
    <w:rsid w:val="00583796"/>
    <w:rsid w:val="0058555C"/>
    <w:rsid w:val="005871D8"/>
    <w:rsid w:val="00590303"/>
    <w:rsid w:val="005925B5"/>
    <w:rsid w:val="00592E4E"/>
    <w:rsid w:val="005937F8"/>
    <w:rsid w:val="00594119"/>
    <w:rsid w:val="005941FF"/>
    <w:rsid w:val="005951B2"/>
    <w:rsid w:val="00595862"/>
    <w:rsid w:val="00595B35"/>
    <w:rsid w:val="00596767"/>
    <w:rsid w:val="005A0FA0"/>
    <w:rsid w:val="005A19B0"/>
    <w:rsid w:val="005A1A92"/>
    <w:rsid w:val="005A1D5F"/>
    <w:rsid w:val="005A276C"/>
    <w:rsid w:val="005A324F"/>
    <w:rsid w:val="005A43C4"/>
    <w:rsid w:val="005A459C"/>
    <w:rsid w:val="005A522D"/>
    <w:rsid w:val="005A567E"/>
    <w:rsid w:val="005A714E"/>
    <w:rsid w:val="005A7231"/>
    <w:rsid w:val="005B0B74"/>
    <w:rsid w:val="005B0BC5"/>
    <w:rsid w:val="005B0F4D"/>
    <w:rsid w:val="005B2ACE"/>
    <w:rsid w:val="005B7006"/>
    <w:rsid w:val="005C099B"/>
    <w:rsid w:val="005C5066"/>
    <w:rsid w:val="005C6205"/>
    <w:rsid w:val="005C6862"/>
    <w:rsid w:val="005D296F"/>
    <w:rsid w:val="005D5582"/>
    <w:rsid w:val="005D56CE"/>
    <w:rsid w:val="005E14A7"/>
    <w:rsid w:val="005E4A2E"/>
    <w:rsid w:val="005E4B80"/>
    <w:rsid w:val="005E568F"/>
    <w:rsid w:val="005E5EC1"/>
    <w:rsid w:val="005E615D"/>
    <w:rsid w:val="005E68E8"/>
    <w:rsid w:val="005E7582"/>
    <w:rsid w:val="005F1A8A"/>
    <w:rsid w:val="005F2B8D"/>
    <w:rsid w:val="005F4EAD"/>
    <w:rsid w:val="005F4FC6"/>
    <w:rsid w:val="005F5034"/>
    <w:rsid w:val="005F5977"/>
    <w:rsid w:val="005F6428"/>
    <w:rsid w:val="005F7567"/>
    <w:rsid w:val="00603966"/>
    <w:rsid w:val="00605919"/>
    <w:rsid w:val="00605D57"/>
    <w:rsid w:val="006060FF"/>
    <w:rsid w:val="00606A7B"/>
    <w:rsid w:val="00607E97"/>
    <w:rsid w:val="00610E87"/>
    <w:rsid w:val="00612213"/>
    <w:rsid w:val="00614501"/>
    <w:rsid w:val="00615D53"/>
    <w:rsid w:val="00616362"/>
    <w:rsid w:val="006168DE"/>
    <w:rsid w:val="00616944"/>
    <w:rsid w:val="00617A45"/>
    <w:rsid w:val="0062000A"/>
    <w:rsid w:val="00620273"/>
    <w:rsid w:val="00620280"/>
    <w:rsid w:val="00621F06"/>
    <w:rsid w:val="00622086"/>
    <w:rsid w:val="006231E2"/>
    <w:rsid w:val="006232D6"/>
    <w:rsid w:val="00624167"/>
    <w:rsid w:val="00624E9B"/>
    <w:rsid w:val="00626680"/>
    <w:rsid w:val="00631273"/>
    <w:rsid w:val="00631C1E"/>
    <w:rsid w:val="00633E01"/>
    <w:rsid w:val="00633FDC"/>
    <w:rsid w:val="00636BD9"/>
    <w:rsid w:val="00636E83"/>
    <w:rsid w:val="0063766F"/>
    <w:rsid w:val="0064021D"/>
    <w:rsid w:val="006412A6"/>
    <w:rsid w:val="0064344A"/>
    <w:rsid w:val="00643D39"/>
    <w:rsid w:val="006476D0"/>
    <w:rsid w:val="0065088F"/>
    <w:rsid w:val="0065093F"/>
    <w:rsid w:val="00652319"/>
    <w:rsid w:val="00652609"/>
    <w:rsid w:val="0065638E"/>
    <w:rsid w:val="0065772C"/>
    <w:rsid w:val="00660EA7"/>
    <w:rsid w:val="00661E48"/>
    <w:rsid w:val="00667B7F"/>
    <w:rsid w:val="0067162B"/>
    <w:rsid w:val="0067175B"/>
    <w:rsid w:val="0067201D"/>
    <w:rsid w:val="00672130"/>
    <w:rsid w:val="0067375E"/>
    <w:rsid w:val="006749BC"/>
    <w:rsid w:val="00674ADD"/>
    <w:rsid w:val="0067514E"/>
    <w:rsid w:val="0067541F"/>
    <w:rsid w:val="006763C7"/>
    <w:rsid w:val="00676417"/>
    <w:rsid w:val="00677855"/>
    <w:rsid w:val="0068044F"/>
    <w:rsid w:val="00681DAD"/>
    <w:rsid w:val="0068226B"/>
    <w:rsid w:val="00684CB2"/>
    <w:rsid w:val="0068737D"/>
    <w:rsid w:val="00687635"/>
    <w:rsid w:val="00690563"/>
    <w:rsid w:val="0069129C"/>
    <w:rsid w:val="00692E24"/>
    <w:rsid w:val="00694C34"/>
    <w:rsid w:val="0069581A"/>
    <w:rsid w:val="006A1182"/>
    <w:rsid w:val="006A2230"/>
    <w:rsid w:val="006A2FA3"/>
    <w:rsid w:val="006A535F"/>
    <w:rsid w:val="006A6461"/>
    <w:rsid w:val="006B0715"/>
    <w:rsid w:val="006B211C"/>
    <w:rsid w:val="006B3763"/>
    <w:rsid w:val="006B57E3"/>
    <w:rsid w:val="006B5CC6"/>
    <w:rsid w:val="006B6957"/>
    <w:rsid w:val="006B7FCE"/>
    <w:rsid w:val="006C2F2E"/>
    <w:rsid w:val="006C3C49"/>
    <w:rsid w:val="006C3F07"/>
    <w:rsid w:val="006C5765"/>
    <w:rsid w:val="006D03DE"/>
    <w:rsid w:val="006D0B8A"/>
    <w:rsid w:val="006D25AD"/>
    <w:rsid w:val="006D2C2D"/>
    <w:rsid w:val="006D38D8"/>
    <w:rsid w:val="006D40F7"/>
    <w:rsid w:val="006D4932"/>
    <w:rsid w:val="006D5D93"/>
    <w:rsid w:val="006D749A"/>
    <w:rsid w:val="006E0449"/>
    <w:rsid w:val="006E1A28"/>
    <w:rsid w:val="006E472F"/>
    <w:rsid w:val="006E6CE5"/>
    <w:rsid w:val="006F1B01"/>
    <w:rsid w:val="006F2A6F"/>
    <w:rsid w:val="006F4A40"/>
    <w:rsid w:val="006F7B25"/>
    <w:rsid w:val="00700FB8"/>
    <w:rsid w:val="00701018"/>
    <w:rsid w:val="00701891"/>
    <w:rsid w:val="007027E8"/>
    <w:rsid w:val="007037EE"/>
    <w:rsid w:val="00705326"/>
    <w:rsid w:val="00705887"/>
    <w:rsid w:val="00706A04"/>
    <w:rsid w:val="00713503"/>
    <w:rsid w:val="00715185"/>
    <w:rsid w:val="00715296"/>
    <w:rsid w:val="00715B29"/>
    <w:rsid w:val="007166DD"/>
    <w:rsid w:val="00721666"/>
    <w:rsid w:val="00721B68"/>
    <w:rsid w:val="00723532"/>
    <w:rsid w:val="00723721"/>
    <w:rsid w:val="00723810"/>
    <w:rsid w:val="00723A5B"/>
    <w:rsid w:val="00724E64"/>
    <w:rsid w:val="007259B3"/>
    <w:rsid w:val="00726435"/>
    <w:rsid w:val="00727FAC"/>
    <w:rsid w:val="00730D30"/>
    <w:rsid w:val="00731DBE"/>
    <w:rsid w:val="00732B3D"/>
    <w:rsid w:val="00733450"/>
    <w:rsid w:val="007336AC"/>
    <w:rsid w:val="00735016"/>
    <w:rsid w:val="00735353"/>
    <w:rsid w:val="00735585"/>
    <w:rsid w:val="00735904"/>
    <w:rsid w:val="0073620C"/>
    <w:rsid w:val="00736279"/>
    <w:rsid w:val="0073719A"/>
    <w:rsid w:val="0073765C"/>
    <w:rsid w:val="00740624"/>
    <w:rsid w:val="007420D5"/>
    <w:rsid w:val="00743ACD"/>
    <w:rsid w:val="00745D11"/>
    <w:rsid w:val="007468A8"/>
    <w:rsid w:val="007471A2"/>
    <w:rsid w:val="00750794"/>
    <w:rsid w:val="00753CE3"/>
    <w:rsid w:val="00755139"/>
    <w:rsid w:val="007553D5"/>
    <w:rsid w:val="00755B9F"/>
    <w:rsid w:val="00756711"/>
    <w:rsid w:val="00756914"/>
    <w:rsid w:val="00762706"/>
    <w:rsid w:val="0076277D"/>
    <w:rsid w:val="0076493B"/>
    <w:rsid w:val="00765947"/>
    <w:rsid w:val="007661A5"/>
    <w:rsid w:val="007668A2"/>
    <w:rsid w:val="00766F59"/>
    <w:rsid w:val="00767252"/>
    <w:rsid w:val="00771A69"/>
    <w:rsid w:val="00771F6C"/>
    <w:rsid w:val="00775348"/>
    <w:rsid w:val="0077572E"/>
    <w:rsid w:val="00777A57"/>
    <w:rsid w:val="00780003"/>
    <w:rsid w:val="007809C4"/>
    <w:rsid w:val="00781027"/>
    <w:rsid w:val="007825C7"/>
    <w:rsid w:val="00782809"/>
    <w:rsid w:val="00782880"/>
    <w:rsid w:val="00784A86"/>
    <w:rsid w:val="007853F7"/>
    <w:rsid w:val="00785F4D"/>
    <w:rsid w:val="00787725"/>
    <w:rsid w:val="00787CC9"/>
    <w:rsid w:val="00787ECC"/>
    <w:rsid w:val="007911C0"/>
    <w:rsid w:val="00791EB9"/>
    <w:rsid w:val="007923CA"/>
    <w:rsid w:val="00792535"/>
    <w:rsid w:val="0079275F"/>
    <w:rsid w:val="00794945"/>
    <w:rsid w:val="00794B22"/>
    <w:rsid w:val="00794C2B"/>
    <w:rsid w:val="007A5305"/>
    <w:rsid w:val="007A5502"/>
    <w:rsid w:val="007A557F"/>
    <w:rsid w:val="007A6027"/>
    <w:rsid w:val="007A744B"/>
    <w:rsid w:val="007B0491"/>
    <w:rsid w:val="007B04B1"/>
    <w:rsid w:val="007B066E"/>
    <w:rsid w:val="007B1458"/>
    <w:rsid w:val="007B583F"/>
    <w:rsid w:val="007B6442"/>
    <w:rsid w:val="007B7608"/>
    <w:rsid w:val="007C0847"/>
    <w:rsid w:val="007C3BD5"/>
    <w:rsid w:val="007C4E2A"/>
    <w:rsid w:val="007C53AF"/>
    <w:rsid w:val="007C6842"/>
    <w:rsid w:val="007C73CB"/>
    <w:rsid w:val="007D0BDE"/>
    <w:rsid w:val="007D19C9"/>
    <w:rsid w:val="007D254B"/>
    <w:rsid w:val="007D2CC1"/>
    <w:rsid w:val="007D6735"/>
    <w:rsid w:val="007D78B3"/>
    <w:rsid w:val="007E1FCE"/>
    <w:rsid w:val="007E3494"/>
    <w:rsid w:val="007E4A86"/>
    <w:rsid w:val="007E6EA4"/>
    <w:rsid w:val="007E7712"/>
    <w:rsid w:val="007F1A06"/>
    <w:rsid w:val="007F21A5"/>
    <w:rsid w:val="007F4B8D"/>
    <w:rsid w:val="007F4BB1"/>
    <w:rsid w:val="007F787E"/>
    <w:rsid w:val="008003A5"/>
    <w:rsid w:val="00801603"/>
    <w:rsid w:val="008068B4"/>
    <w:rsid w:val="00807A24"/>
    <w:rsid w:val="00810249"/>
    <w:rsid w:val="00811794"/>
    <w:rsid w:val="008118E7"/>
    <w:rsid w:val="00814F94"/>
    <w:rsid w:val="0081526E"/>
    <w:rsid w:val="008165CE"/>
    <w:rsid w:val="008213AE"/>
    <w:rsid w:val="008216DA"/>
    <w:rsid w:val="00822BAF"/>
    <w:rsid w:val="00822BDB"/>
    <w:rsid w:val="00824850"/>
    <w:rsid w:val="0082671C"/>
    <w:rsid w:val="0082772D"/>
    <w:rsid w:val="0083113B"/>
    <w:rsid w:val="00840101"/>
    <w:rsid w:val="00843288"/>
    <w:rsid w:val="00845091"/>
    <w:rsid w:val="00845FBA"/>
    <w:rsid w:val="00846088"/>
    <w:rsid w:val="00846DC1"/>
    <w:rsid w:val="0085024D"/>
    <w:rsid w:val="008530D6"/>
    <w:rsid w:val="008556EB"/>
    <w:rsid w:val="00855720"/>
    <w:rsid w:val="0086000C"/>
    <w:rsid w:val="00861912"/>
    <w:rsid w:val="00863B22"/>
    <w:rsid w:val="00865A62"/>
    <w:rsid w:val="00865E53"/>
    <w:rsid w:val="008664CA"/>
    <w:rsid w:val="00867524"/>
    <w:rsid w:val="00871AA9"/>
    <w:rsid w:val="00872714"/>
    <w:rsid w:val="00872D40"/>
    <w:rsid w:val="00874C3E"/>
    <w:rsid w:val="00874F42"/>
    <w:rsid w:val="0087585C"/>
    <w:rsid w:val="00882ADD"/>
    <w:rsid w:val="0088556E"/>
    <w:rsid w:val="00890CF8"/>
    <w:rsid w:val="00891983"/>
    <w:rsid w:val="00892383"/>
    <w:rsid w:val="00892E2C"/>
    <w:rsid w:val="00893BA4"/>
    <w:rsid w:val="008954DF"/>
    <w:rsid w:val="0089579F"/>
    <w:rsid w:val="00895C60"/>
    <w:rsid w:val="008A0B8B"/>
    <w:rsid w:val="008A138A"/>
    <w:rsid w:val="008A1E34"/>
    <w:rsid w:val="008A3705"/>
    <w:rsid w:val="008A4467"/>
    <w:rsid w:val="008A71D7"/>
    <w:rsid w:val="008B08EE"/>
    <w:rsid w:val="008B099E"/>
    <w:rsid w:val="008B1701"/>
    <w:rsid w:val="008B251E"/>
    <w:rsid w:val="008B27D6"/>
    <w:rsid w:val="008B39D0"/>
    <w:rsid w:val="008B448B"/>
    <w:rsid w:val="008B4F1F"/>
    <w:rsid w:val="008C08CA"/>
    <w:rsid w:val="008C1D30"/>
    <w:rsid w:val="008C5C93"/>
    <w:rsid w:val="008C663F"/>
    <w:rsid w:val="008C7EEB"/>
    <w:rsid w:val="008D0CB0"/>
    <w:rsid w:val="008D34F6"/>
    <w:rsid w:val="008D4448"/>
    <w:rsid w:val="008D4F65"/>
    <w:rsid w:val="008D5FE1"/>
    <w:rsid w:val="008D6AF7"/>
    <w:rsid w:val="008D73AA"/>
    <w:rsid w:val="008D7643"/>
    <w:rsid w:val="008E03FB"/>
    <w:rsid w:val="008E33A3"/>
    <w:rsid w:val="008E5325"/>
    <w:rsid w:val="008E7FF9"/>
    <w:rsid w:val="008F05E6"/>
    <w:rsid w:val="008F0F8A"/>
    <w:rsid w:val="008F259F"/>
    <w:rsid w:val="008F2626"/>
    <w:rsid w:val="008F5A61"/>
    <w:rsid w:val="008F6194"/>
    <w:rsid w:val="008F7426"/>
    <w:rsid w:val="00901BBC"/>
    <w:rsid w:val="0090231F"/>
    <w:rsid w:val="00902AD6"/>
    <w:rsid w:val="00903B54"/>
    <w:rsid w:val="009057B7"/>
    <w:rsid w:val="00905F6F"/>
    <w:rsid w:val="00907CF1"/>
    <w:rsid w:val="00910D30"/>
    <w:rsid w:val="00911E54"/>
    <w:rsid w:val="00913C95"/>
    <w:rsid w:val="009171C4"/>
    <w:rsid w:val="00920DBC"/>
    <w:rsid w:val="00921B2B"/>
    <w:rsid w:val="00922A17"/>
    <w:rsid w:val="009238B8"/>
    <w:rsid w:val="00924257"/>
    <w:rsid w:val="009248AB"/>
    <w:rsid w:val="009258EA"/>
    <w:rsid w:val="00925BD7"/>
    <w:rsid w:val="00925DC3"/>
    <w:rsid w:val="00927856"/>
    <w:rsid w:val="00927E35"/>
    <w:rsid w:val="009324F0"/>
    <w:rsid w:val="0093561D"/>
    <w:rsid w:val="00935637"/>
    <w:rsid w:val="0094003D"/>
    <w:rsid w:val="0094107F"/>
    <w:rsid w:val="00941A5A"/>
    <w:rsid w:val="00941D74"/>
    <w:rsid w:val="00941E22"/>
    <w:rsid w:val="00942993"/>
    <w:rsid w:val="00943AE2"/>
    <w:rsid w:val="00943C81"/>
    <w:rsid w:val="00944765"/>
    <w:rsid w:val="00944DF5"/>
    <w:rsid w:val="00946E53"/>
    <w:rsid w:val="009477FA"/>
    <w:rsid w:val="00950C48"/>
    <w:rsid w:val="00950F76"/>
    <w:rsid w:val="00951157"/>
    <w:rsid w:val="00951205"/>
    <w:rsid w:val="009527B2"/>
    <w:rsid w:val="00955D29"/>
    <w:rsid w:val="00961EA3"/>
    <w:rsid w:val="00961F30"/>
    <w:rsid w:val="009637BA"/>
    <w:rsid w:val="00971430"/>
    <w:rsid w:val="00971C3F"/>
    <w:rsid w:val="00972359"/>
    <w:rsid w:val="00972DE2"/>
    <w:rsid w:val="00977EEA"/>
    <w:rsid w:val="00981562"/>
    <w:rsid w:val="0098369C"/>
    <w:rsid w:val="00985806"/>
    <w:rsid w:val="00985C3C"/>
    <w:rsid w:val="00985FC8"/>
    <w:rsid w:val="00991CED"/>
    <w:rsid w:val="00992439"/>
    <w:rsid w:val="00996C07"/>
    <w:rsid w:val="00996FE0"/>
    <w:rsid w:val="00997287"/>
    <w:rsid w:val="009A1E22"/>
    <w:rsid w:val="009A31D7"/>
    <w:rsid w:val="009A4791"/>
    <w:rsid w:val="009A5301"/>
    <w:rsid w:val="009A57AE"/>
    <w:rsid w:val="009A68B7"/>
    <w:rsid w:val="009A7852"/>
    <w:rsid w:val="009B0CF9"/>
    <w:rsid w:val="009B21D9"/>
    <w:rsid w:val="009B2BC4"/>
    <w:rsid w:val="009B4205"/>
    <w:rsid w:val="009B6511"/>
    <w:rsid w:val="009C1ECE"/>
    <w:rsid w:val="009C6440"/>
    <w:rsid w:val="009C7074"/>
    <w:rsid w:val="009C71A1"/>
    <w:rsid w:val="009C7544"/>
    <w:rsid w:val="009C79A9"/>
    <w:rsid w:val="009C7AF3"/>
    <w:rsid w:val="009C7EA1"/>
    <w:rsid w:val="009D33AF"/>
    <w:rsid w:val="009D3EA6"/>
    <w:rsid w:val="009D54BA"/>
    <w:rsid w:val="009D72DD"/>
    <w:rsid w:val="009E04A5"/>
    <w:rsid w:val="009E0F42"/>
    <w:rsid w:val="009E1EB3"/>
    <w:rsid w:val="009E3060"/>
    <w:rsid w:val="009E4F8C"/>
    <w:rsid w:val="009E6831"/>
    <w:rsid w:val="009E6CDD"/>
    <w:rsid w:val="009E7D6A"/>
    <w:rsid w:val="009F12B9"/>
    <w:rsid w:val="009F21F9"/>
    <w:rsid w:val="009F65EE"/>
    <w:rsid w:val="009F74BD"/>
    <w:rsid w:val="00A02F18"/>
    <w:rsid w:val="00A048BB"/>
    <w:rsid w:val="00A063D5"/>
    <w:rsid w:val="00A06A4D"/>
    <w:rsid w:val="00A06C7F"/>
    <w:rsid w:val="00A0786E"/>
    <w:rsid w:val="00A10FC5"/>
    <w:rsid w:val="00A1116A"/>
    <w:rsid w:val="00A12A78"/>
    <w:rsid w:val="00A147D9"/>
    <w:rsid w:val="00A16F1F"/>
    <w:rsid w:val="00A20F91"/>
    <w:rsid w:val="00A22E0D"/>
    <w:rsid w:val="00A24277"/>
    <w:rsid w:val="00A24E4E"/>
    <w:rsid w:val="00A24FAF"/>
    <w:rsid w:val="00A25C50"/>
    <w:rsid w:val="00A25EA1"/>
    <w:rsid w:val="00A2702E"/>
    <w:rsid w:val="00A31048"/>
    <w:rsid w:val="00A3215F"/>
    <w:rsid w:val="00A33F9B"/>
    <w:rsid w:val="00A35517"/>
    <w:rsid w:val="00A35EF1"/>
    <w:rsid w:val="00A41D90"/>
    <w:rsid w:val="00A43FB0"/>
    <w:rsid w:val="00A44B70"/>
    <w:rsid w:val="00A450E5"/>
    <w:rsid w:val="00A452D9"/>
    <w:rsid w:val="00A47617"/>
    <w:rsid w:val="00A479CD"/>
    <w:rsid w:val="00A47D04"/>
    <w:rsid w:val="00A51F8B"/>
    <w:rsid w:val="00A53F92"/>
    <w:rsid w:val="00A54233"/>
    <w:rsid w:val="00A5676B"/>
    <w:rsid w:val="00A5708E"/>
    <w:rsid w:val="00A63A2A"/>
    <w:rsid w:val="00A63A69"/>
    <w:rsid w:val="00A669D3"/>
    <w:rsid w:val="00A709F9"/>
    <w:rsid w:val="00A713A8"/>
    <w:rsid w:val="00A713D3"/>
    <w:rsid w:val="00A71A39"/>
    <w:rsid w:val="00A721A9"/>
    <w:rsid w:val="00A72DA7"/>
    <w:rsid w:val="00A72E18"/>
    <w:rsid w:val="00A74F7C"/>
    <w:rsid w:val="00A76CA9"/>
    <w:rsid w:val="00A77915"/>
    <w:rsid w:val="00A80304"/>
    <w:rsid w:val="00A81D07"/>
    <w:rsid w:val="00A844AF"/>
    <w:rsid w:val="00A84BD1"/>
    <w:rsid w:val="00A86088"/>
    <w:rsid w:val="00A86C71"/>
    <w:rsid w:val="00A87F35"/>
    <w:rsid w:val="00A90DAA"/>
    <w:rsid w:val="00A91059"/>
    <w:rsid w:val="00A95DF2"/>
    <w:rsid w:val="00A96B6E"/>
    <w:rsid w:val="00AA0D7C"/>
    <w:rsid w:val="00AA109A"/>
    <w:rsid w:val="00AA1F89"/>
    <w:rsid w:val="00AA2341"/>
    <w:rsid w:val="00AA4968"/>
    <w:rsid w:val="00AA504C"/>
    <w:rsid w:val="00AA5195"/>
    <w:rsid w:val="00AC1852"/>
    <w:rsid w:val="00AC6705"/>
    <w:rsid w:val="00AC7412"/>
    <w:rsid w:val="00AC78B2"/>
    <w:rsid w:val="00AD2341"/>
    <w:rsid w:val="00AD2881"/>
    <w:rsid w:val="00AD42EB"/>
    <w:rsid w:val="00AD5CB2"/>
    <w:rsid w:val="00AD7E2A"/>
    <w:rsid w:val="00AE61A2"/>
    <w:rsid w:val="00AE7EDB"/>
    <w:rsid w:val="00AF3344"/>
    <w:rsid w:val="00AF382A"/>
    <w:rsid w:val="00AF3EB5"/>
    <w:rsid w:val="00AF6764"/>
    <w:rsid w:val="00AF74E9"/>
    <w:rsid w:val="00B0244A"/>
    <w:rsid w:val="00B02F10"/>
    <w:rsid w:val="00B04BC8"/>
    <w:rsid w:val="00B04D0C"/>
    <w:rsid w:val="00B054AD"/>
    <w:rsid w:val="00B05DB1"/>
    <w:rsid w:val="00B10A35"/>
    <w:rsid w:val="00B11396"/>
    <w:rsid w:val="00B12072"/>
    <w:rsid w:val="00B151F6"/>
    <w:rsid w:val="00B17F97"/>
    <w:rsid w:val="00B21B81"/>
    <w:rsid w:val="00B23259"/>
    <w:rsid w:val="00B24F02"/>
    <w:rsid w:val="00B257E4"/>
    <w:rsid w:val="00B26524"/>
    <w:rsid w:val="00B2694B"/>
    <w:rsid w:val="00B27478"/>
    <w:rsid w:val="00B27760"/>
    <w:rsid w:val="00B309FD"/>
    <w:rsid w:val="00B3226A"/>
    <w:rsid w:val="00B32E93"/>
    <w:rsid w:val="00B33C58"/>
    <w:rsid w:val="00B35A14"/>
    <w:rsid w:val="00B36603"/>
    <w:rsid w:val="00B36934"/>
    <w:rsid w:val="00B401AA"/>
    <w:rsid w:val="00B50197"/>
    <w:rsid w:val="00B50B46"/>
    <w:rsid w:val="00B516B9"/>
    <w:rsid w:val="00B51BDF"/>
    <w:rsid w:val="00B60AC4"/>
    <w:rsid w:val="00B63377"/>
    <w:rsid w:val="00B6510B"/>
    <w:rsid w:val="00B65EAB"/>
    <w:rsid w:val="00B65EE2"/>
    <w:rsid w:val="00B65FF1"/>
    <w:rsid w:val="00B66084"/>
    <w:rsid w:val="00B7185D"/>
    <w:rsid w:val="00B719CD"/>
    <w:rsid w:val="00B7251E"/>
    <w:rsid w:val="00B73018"/>
    <w:rsid w:val="00B73F30"/>
    <w:rsid w:val="00B74841"/>
    <w:rsid w:val="00B75665"/>
    <w:rsid w:val="00B7573F"/>
    <w:rsid w:val="00B763FA"/>
    <w:rsid w:val="00B76A56"/>
    <w:rsid w:val="00B814C0"/>
    <w:rsid w:val="00B816F7"/>
    <w:rsid w:val="00B81EB4"/>
    <w:rsid w:val="00B82EA5"/>
    <w:rsid w:val="00B82EA9"/>
    <w:rsid w:val="00B8336C"/>
    <w:rsid w:val="00B83CF6"/>
    <w:rsid w:val="00B83F6F"/>
    <w:rsid w:val="00B840D1"/>
    <w:rsid w:val="00B848AC"/>
    <w:rsid w:val="00B848DF"/>
    <w:rsid w:val="00B84EFD"/>
    <w:rsid w:val="00B85525"/>
    <w:rsid w:val="00B8598D"/>
    <w:rsid w:val="00B85D19"/>
    <w:rsid w:val="00B86083"/>
    <w:rsid w:val="00B864CA"/>
    <w:rsid w:val="00B86592"/>
    <w:rsid w:val="00B90A6A"/>
    <w:rsid w:val="00B91D70"/>
    <w:rsid w:val="00B93371"/>
    <w:rsid w:val="00B94DA6"/>
    <w:rsid w:val="00B9583F"/>
    <w:rsid w:val="00B9657F"/>
    <w:rsid w:val="00BA0203"/>
    <w:rsid w:val="00BA1209"/>
    <w:rsid w:val="00BA152B"/>
    <w:rsid w:val="00BA2C90"/>
    <w:rsid w:val="00BA3523"/>
    <w:rsid w:val="00BA4822"/>
    <w:rsid w:val="00BA4AC1"/>
    <w:rsid w:val="00BA563B"/>
    <w:rsid w:val="00BA566F"/>
    <w:rsid w:val="00BB0348"/>
    <w:rsid w:val="00BB0803"/>
    <w:rsid w:val="00BB0B17"/>
    <w:rsid w:val="00BB1487"/>
    <w:rsid w:val="00BB1DA2"/>
    <w:rsid w:val="00BB341E"/>
    <w:rsid w:val="00BB42CE"/>
    <w:rsid w:val="00BB7652"/>
    <w:rsid w:val="00BC1CB6"/>
    <w:rsid w:val="00BC3BAF"/>
    <w:rsid w:val="00BC4089"/>
    <w:rsid w:val="00BC63E4"/>
    <w:rsid w:val="00BC6CE9"/>
    <w:rsid w:val="00BC73DB"/>
    <w:rsid w:val="00BD25DA"/>
    <w:rsid w:val="00BD3D64"/>
    <w:rsid w:val="00BD4F42"/>
    <w:rsid w:val="00BD7551"/>
    <w:rsid w:val="00BE1415"/>
    <w:rsid w:val="00BE15F0"/>
    <w:rsid w:val="00BE75BF"/>
    <w:rsid w:val="00BE7980"/>
    <w:rsid w:val="00BE7A44"/>
    <w:rsid w:val="00BF0280"/>
    <w:rsid w:val="00BF1868"/>
    <w:rsid w:val="00BF2D8F"/>
    <w:rsid w:val="00BF3102"/>
    <w:rsid w:val="00BF3394"/>
    <w:rsid w:val="00BF5741"/>
    <w:rsid w:val="00BF6518"/>
    <w:rsid w:val="00BF77E3"/>
    <w:rsid w:val="00BF7A8C"/>
    <w:rsid w:val="00C00BB4"/>
    <w:rsid w:val="00C00D1F"/>
    <w:rsid w:val="00C018D6"/>
    <w:rsid w:val="00C02FA0"/>
    <w:rsid w:val="00C04005"/>
    <w:rsid w:val="00C060E2"/>
    <w:rsid w:val="00C07BB0"/>
    <w:rsid w:val="00C07E25"/>
    <w:rsid w:val="00C07E93"/>
    <w:rsid w:val="00C104B2"/>
    <w:rsid w:val="00C1110C"/>
    <w:rsid w:val="00C112E3"/>
    <w:rsid w:val="00C114A3"/>
    <w:rsid w:val="00C11A2A"/>
    <w:rsid w:val="00C11AF4"/>
    <w:rsid w:val="00C146C1"/>
    <w:rsid w:val="00C22560"/>
    <w:rsid w:val="00C23C1A"/>
    <w:rsid w:val="00C27385"/>
    <w:rsid w:val="00C275AF"/>
    <w:rsid w:val="00C3118D"/>
    <w:rsid w:val="00C314E0"/>
    <w:rsid w:val="00C336D6"/>
    <w:rsid w:val="00C35F3F"/>
    <w:rsid w:val="00C37945"/>
    <w:rsid w:val="00C43A0D"/>
    <w:rsid w:val="00C44E70"/>
    <w:rsid w:val="00C4502E"/>
    <w:rsid w:val="00C463E8"/>
    <w:rsid w:val="00C50539"/>
    <w:rsid w:val="00C52BA4"/>
    <w:rsid w:val="00C54F66"/>
    <w:rsid w:val="00C56192"/>
    <w:rsid w:val="00C577BC"/>
    <w:rsid w:val="00C600F6"/>
    <w:rsid w:val="00C6250B"/>
    <w:rsid w:val="00C64456"/>
    <w:rsid w:val="00C65CC8"/>
    <w:rsid w:val="00C66636"/>
    <w:rsid w:val="00C70AC4"/>
    <w:rsid w:val="00C73DA1"/>
    <w:rsid w:val="00C74ECC"/>
    <w:rsid w:val="00C756C0"/>
    <w:rsid w:val="00C81AD7"/>
    <w:rsid w:val="00C8514D"/>
    <w:rsid w:val="00C9083F"/>
    <w:rsid w:val="00C919ED"/>
    <w:rsid w:val="00C934E9"/>
    <w:rsid w:val="00C942AA"/>
    <w:rsid w:val="00C9497D"/>
    <w:rsid w:val="00C952E4"/>
    <w:rsid w:val="00C973DD"/>
    <w:rsid w:val="00C97465"/>
    <w:rsid w:val="00CA181B"/>
    <w:rsid w:val="00CA3F5B"/>
    <w:rsid w:val="00CA4C3E"/>
    <w:rsid w:val="00CA524B"/>
    <w:rsid w:val="00CA6053"/>
    <w:rsid w:val="00CA6BDF"/>
    <w:rsid w:val="00CB1FF9"/>
    <w:rsid w:val="00CB21A5"/>
    <w:rsid w:val="00CB2944"/>
    <w:rsid w:val="00CB2A78"/>
    <w:rsid w:val="00CB2AA7"/>
    <w:rsid w:val="00CB32F4"/>
    <w:rsid w:val="00CB4177"/>
    <w:rsid w:val="00CB535F"/>
    <w:rsid w:val="00CB5A5C"/>
    <w:rsid w:val="00CB5C67"/>
    <w:rsid w:val="00CB6A1B"/>
    <w:rsid w:val="00CB6B7A"/>
    <w:rsid w:val="00CC013F"/>
    <w:rsid w:val="00CC08AE"/>
    <w:rsid w:val="00CC0A0A"/>
    <w:rsid w:val="00CC1ACF"/>
    <w:rsid w:val="00CC21A3"/>
    <w:rsid w:val="00CC2C14"/>
    <w:rsid w:val="00CC2CF9"/>
    <w:rsid w:val="00CC3090"/>
    <w:rsid w:val="00CC3F5E"/>
    <w:rsid w:val="00CC4DE8"/>
    <w:rsid w:val="00CC5AAC"/>
    <w:rsid w:val="00CD01EE"/>
    <w:rsid w:val="00CE11D2"/>
    <w:rsid w:val="00CE397B"/>
    <w:rsid w:val="00CE3E01"/>
    <w:rsid w:val="00CE5401"/>
    <w:rsid w:val="00CE74BD"/>
    <w:rsid w:val="00CE76B8"/>
    <w:rsid w:val="00CF092F"/>
    <w:rsid w:val="00CF1E4A"/>
    <w:rsid w:val="00CF3C72"/>
    <w:rsid w:val="00CF5C8E"/>
    <w:rsid w:val="00CF614A"/>
    <w:rsid w:val="00CF688E"/>
    <w:rsid w:val="00CF6C10"/>
    <w:rsid w:val="00D01F01"/>
    <w:rsid w:val="00D0335E"/>
    <w:rsid w:val="00D03EC5"/>
    <w:rsid w:val="00D06F1F"/>
    <w:rsid w:val="00D07883"/>
    <w:rsid w:val="00D141BB"/>
    <w:rsid w:val="00D14480"/>
    <w:rsid w:val="00D14E1B"/>
    <w:rsid w:val="00D14F6C"/>
    <w:rsid w:val="00D152F8"/>
    <w:rsid w:val="00D1603C"/>
    <w:rsid w:val="00D217BC"/>
    <w:rsid w:val="00D24E51"/>
    <w:rsid w:val="00D2569A"/>
    <w:rsid w:val="00D25F7F"/>
    <w:rsid w:val="00D277C5"/>
    <w:rsid w:val="00D310A0"/>
    <w:rsid w:val="00D31CC5"/>
    <w:rsid w:val="00D31D3B"/>
    <w:rsid w:val="00D33A4A"/>
    <w:rsid w:val="00D34213"/>
    <w:rsid w:val="00D3562A"/>
    <w:rsid w:val="00D37673"/>
    <w:rsid w:val="00D42C2C"/>
    <w:rsid w:val="00D46301"/>
    <w:rsid w:val="00D47F84"/>
    <w:rsid w:val="00D540A1"/>
    <w:rsid w:val="00D5466A"/>
    <w:rsid w:val="00D55D32"/>
    <w:rsid w:val="00D6186B"/>
    <w:rsid w:val="00D64323"/>
    <w:rsid w:val="00D647A2"/>
    <w:rsid w:val="00D664AC"/>
    <w:rsid w:val="00D67C44"/>
    <w:rsid w:val="00D72118"/>
    <w:rsid w:val="00D74552"/>
    <w:rsid w:val="00D74AA4"/>
    <w:rsid w:val="00D74EC7"/>
    <w:rsid w:val="00D752D8"/>
    <w:rsid w:val="00D75E85"/>
    <w:rsid w:val="00D7679E"/>
    <w:rsid w:val="00D800E5"/>
    <w:rsid w:val="00D840D9"/>
    <w:rsid w:val="00D8444D"/>
    <w:rsid w:val="00D862AA"/>
    <w:rsid w:val="00D87BB9"/>
    <w:rsid w:val="00D90A0F"/>
    <w:rsid w:val="00D90BF9"/>
    <w:rsid w:val="00D9108B"/>
    <w:rsid w:val="00D92545"/>
    <w:rsid w:val="00D928C1"/>
    <w:rsid w:val="00D92D5D"/>
    <w:rsid w:val="00D92F04"/>
    <w:rsid w:val="00D93202"/>
    <w:rsid w:val="00D94AB6"/>
    <w:rsid w:val="00D95F85"/>
    <w:rsid w:val="00D96285"/>
    <w:rsid w:val="00D9648B"/>
    <w:rsid w:val="00DA3149"/>
    <w:rsid w:val="00DA7E63"/>
    <w:rsid w:val="00DB07CA"/>
    <w:rsid w:val="00DB2B07"/>
    <w:rsid w:val="00DB5411"/>
    <w:rsid w:val="00DB5669"/>
    <w:rsid w:val="00DB57BA"/>
    <w:rsid w:val="00DB64F3"/>
    <w:rsid w:val="00DB6AE6"/>
    <w:rsid w:val="00DC16E9"/>
    <w:rsid w:val="00DC1B45"/>
    <w:rsid w:val="00DC3AED"/>
    <w:rsid w:val="00DC3C3C"/>
    <w:rsid w:val="00DC602D"/>
    <w:rsid w:val="00DC6B36"/>
    <w:rsid w:val="00DC70F4"/>
    <w:rsid w:val="00DC7904"/>
    <w:rsid w:val="00DD13CD"/>
    <w:rsid w:val="00DD21D4"/>
    <w:rsid w:val="00DD2422"/>
    <w:rsid w:val="00DD3A0C"/>
    <w:rsid w:val="00DD3DB7"/>
    <w:rsid w:val="00DD4515"/>
    <w:rsid w:val="00DD4C85"/>
    <w:rsid w:val="00DD52C7"/>
    <w:rsid w:val="00DD6430"/>
    <w:rsid w:val="00DD6488"/>
    <w:rsid w:val="00DD7301"/>
    <w:rsid w:val="00DE0F15"/>
    <w:rsid w:val="00DE1B1F"/>
    <w:rsid w:val="00DE2AC1"/>
    <w:rsid w:val="00DE408E"/>
    <w:rsid w:val="00DE47B5"/>
    <w:rsid w:val="00DE4E0B"/>
    <w:rsid w:val="00DE54A8"/>
    <w:rsid w:val="00DF1801"/>
    <w:rsid w:val="00DF255B"/>
    <w:rsid w:val="00DF54B7"/>
    <w:rsid w:val="00E008AA"/>
    <w:rsid w:val="00E00BA0"/>
    <w:rsid w:val="00E00D37"/>
    <w:rsid w:val="00E02FC7"/>
    <w:rsid w:val="00E03A96"/>
    <w:rsid w:val="00E04AA0"/>
    <w:rsid w:val="00E056CD"/>
    <w:rsid w:val="00E062CF"/>
    <w:rsid w:val="00E11058"/>
    <w:rsid w:val="00E128E6"/>
    <w:rsid w:val="00E20A22"/>
    <w:rsid w:val="00E20B35"/>
    <w:rsid w:val="00E21B3E"/>
    <w:rsid w:val="00E22987"/>
    <w:rsid w:val="00E231D0"/>
    <w:rsid w:val="00E25677"/>
    <w:rsid w:val="00E303CD"/>
    <w:rsid w:val="00E342C4"/>
    <w:rsid w:val="00E346B8"/>
    <w:rsid w:val="00E34D35"/>
    <w:rsid w:val="00E36985"/>
    <w:rsid w:val="00E36AB4"/>
    <w:rsid w:val="00E40217"/>
    <w:rsid w:val="00E41AA2"/>
    <w:rsid w:val="00E42077"/>
    <w:rsid w:val="00E4668F"/>
    <w:rsid w:val="00E508C3"/>
    <w:rsid w:val="00E51A6B"/>
    <w:rsid w:val="00E53666"/>
    <w:rsid w:val="00E54943"/>
    <w:rsid w:val="00E55B1C"/>
    <w:rsid w:val="00E57428"/>
    <w:rsid w:val="00E6030C"/>
    <w:rsid w:val="00E614EE"/>
    <w:rsid w:val="00E63ACD"/>
    <w:rsid w:val="00E6529B"/>
    <w:rsid w:val="00E66491"/>
    <w:rsid w:val="00E66804"/>
    <w:rsid w:val="00E66C55"/>
    <w:rsid w:val="00E70590"/>
    <w:rsid w:val="00E71375"/>
    <w:rsid w:val="00E71A84"/>
    <w:rsid w:val="00E734FE"/>
    <w:rsid w:val="00E7365D"/>
    <w:rsid w:val="00E744F6"/>
    <w:rsid w:val="00E7592D"/>
    <w:rsid w:val="00E75CD8"/>
    <w:rsid w:val="00E80DF2"/>
    <w:rsid w:val="00E815EF"/>
    <w:rsid w:val="00E8209D"/>
    <w:rsid w:val="00E820C3"/>
    <w:rsid w:val="00E82ACB"/>
    <w:rsid w:val="00E83330"/>
    <w:rsid w:val="00E83C88"/>
    <w:rsid w:val="00E83EC1"/>
    <w:rsid w:val="00E84415"/>
    <w:rsid w:val="00E8522F"/>
    <w:rsid w:val="00E92C09"/>
    <w:rsid w:val="00E92FC6"/>
    <w:rsid w:val="00E94B14"/>
    <w:rsid w:val="00E9611F"/>
    <w:rsid w:val="00EA1368"/>
    <w:rsid w:val="00EA251E"/>
    <w:rsid w:val="00EA38EF"/>
    <w:rsid w:val="00EA4203"/>
    <w:rsid w:val="00EA4307"/>
    <w:rsid w:val="00EA4BE2"/>
    <w:rsid w:val="00EA5D24"/>
    <w:rsid w:val="00EA5E63"/>
    <w:rsid w:val="00EA6BB9"/>
    <w:rsid w:val="00EA6DA8"/>
    <w:rsid w:val="00EB206E"/>
    <w:rsid w:val="00EB27B9"/>
    <w:rsid w:val="00EB3022"/>
    <w:rsid w:val="00EB3F30"/>
    <w:rsid w:val="00EB3FBC"/>
    <w:rsid w:val="00EB44BB"/>
    <w:rsid w:val="00EB5E38"/>
    <w:rsid w:val="00EB5EF1"/>
    <w:rsid w:val="00EB72F1"/>
    <w:rsid w:val="00EB74CC"/>
    <w:rsid w:val="00EC159C"/>
    <w:rsid w:val="00EC36B9"/>
    <w:rsid w:val="00EC374D"/>
    <w:rsid w:val="00EC380E"/>
    <w:rsid w:val="00EC4051"/>
    <w:rsid w:val="00EC4096"/>
    <w:rsid w:val="00EC4FA0"/>
    <w:rsid w:val="00EC5953"/>
    <w:rsid w:val="00EC6E30"/>
    <w:rsid w:val="00EC73CD"/>
    <w:rsid w:val="00EC7855"/>
    <w:rsid w:val="00ED3BAF"/>
    <w:rsid w:val="00ED3C1F"/>
    <w:rsid w:val="00ED4B52"/>
    <w:rsid w:val="00ED5534"/>
    <w:rsid w:val="00ED59F5"/>
    <w:rsid w:val="00ED71E6"/>
    <w:rsid w:val="00ED728C"/>
    <w:rsid w:val="00ED7430"/>
    <w:rsid w:val="00ED79A4"/>
    <w:rsid w:val="00EE03F9"/>
    <w:rsid w:val="00EE0D88"/>
    <w:rsid w:val="00EE2000"/>
    <w:rsid w:val="00EE29A7"/>
    <w:rsid w:val="00EE3B1B"/>
    <w:rsid w:val="00EE48DC"/>
    <w:rsid w:val="00EE4A0D"/>
    <w:rsid w:val="00EE5217"/>
    <w:rsid w:val="00EE6C85"/>
    <w:rsid w:val="00EE7040"/>
    <w:rsid w:val="00EE7A0E"/>
    <w:rsid w:val="00EF2527"/>
    <w:rsid w:val="00EF3934"/>
    <w:rsid w:val="00EF5648"/>
    <w:rsid w:val="00EF66BA"/>
    <w:rsid w:val="00EF788A"/>
    <w:rsid w:val="00EF79CB"/>
    <w:rsid w:val="00EF7C10"/>
    <w:rsid w:val="00EF7FE4"/>
    <w:rsid w:val="00F01A42"/>
    <w:rsid w:val="00F02509"/>
    <w:rsid w:val="00F04260"/>
    <w:rsid w:val="00F06175"/>
    <w:rsid w:val="00F07FB2"/>
    <w:rsid w:val="00F1038A"/>
    <w:rsid w:val="00F12F40"/>
    <w:rsid w:val="00F175FF"/>
    <w:rsid w:val="00F20807"/>
    <w:rsid w:val="00F20BD9"/>
    <w:rsid w:val="00F238A8"/>
    <w:rsid w:val="00F25BA5"/>
    <w:rsid w:val="00F26765"/>
    <w:rsid w:val="00F27195"/>
    <w:rsid w:val="00F326F8"/>
    <w:rsid w:val="00F35CA0"/>
    <w:rsid w:val="00F4074B"/>
    <w:rsid w:val="00F41561"/>
    <w:rsid w:val="00F42D99"/>
    <w:rsid w:val="00F51F73"/>
    <w:rsid w:val="00F52019"/>
    <w:rsid w:val="00F523D8"/>
    <w:rsid w:val="00F52CF0"/>
    <w:rsid w:val="00F53CE0"/>
    <w:rsid w:val="00F54143"/>
    <w:rsid w:val="00F5520B"/>
    <w:rsid w:val="00F56251"/>
    <w:rsid w:val="00F57B2D"/>
    <w:rsid w:val="00F57CC4"/>
    <w:rsid w:val="00F60B96"/>
    <w:rsid w:val="00F61956"/>
    <w:rsid w:val="00F625E0"/>
    <w:rsid w:val="00F64FFD"/>
    <w:rsid w:val="00F66ACE"/>
    <w:rsid w:val="00F66BBE"/>
    <w:rsid w:val="00F67035"/>
    <w:rsid w:val="00F67A04"/>
    <w:rsid w:val="00F709B1"/>
    <w:rsid w:val="00F71C94"/>
    <w:rsid w:val="00F7598C"/>
    <w:rsid w:val="00F770D8"/>
    <w:rsid w:val="00F805C1"/>
    <w:rsid w:val="00F81A7A"/>
    <w:rsid w:val="00F8268D"/>
    <w:rsid w:val="00F82B4A"/>
    <w:rsid w:val="00F83088"/>
    <w:rsid w:val="00F84DC3"/>
    <w:rsid w:val="00F8625E"/>
    <w:rsid w:val="00F87CB0"/>
    <w:rsid w:val="00F95519"/>
    <w:rsid w:val="00FA11BD"/>
    <w:rsid w:val="00FA33D3"/>
    <w:rsid w:val="00FA58A5"/>
    <w:rsid w:val="00FA5AAB"/>
    <w:rsid w:val="00FA6AA8"/>
    <w:rsid w:val="00FB0066"/>
    <w:rsid w:val="00FB3BF8"/>
    <w:rsid w:val="00FB5AF0"/>
    <w:rsid w:val="00FC064F"/>
    <w:rsid w:val="00FC092B"/>
    <w:rsid w:val="00FC114C"/>
    <w:rsid w:val="00FC1177"/>
    <w:rsid w:val="00FC2DE0"/>
    <w:rsid w:val="00FC56CB"/>
    <w:rsid w:val="00FC7758"/>
    <w:rsid w:val="00FC793C"/>
    <w:rsid w:val="00FC7B80"/>
    <w:rsid w:val="00FD03CD"/>
    <w:rsid w:val="00FD2A0E"/>
    <w:rsid w:val="00FD3FB5"/>
    <w:rsid w:val="00FD443C"/>
    <w:rsid w:val="00FD5799"/>
    <w:rsid w:val="00FD5E33"/>
    <w:rsid w:val="00FD5FE4"/>
    <w:rsid w:val="00FE0FA8"/>
    <w:rsid w:val="00FE2316"/>
    <w:rsid w:val="00FE2479"/>
    <w:rsid w:val="00FE383E"/>
    <w:rsid w:val="00FE44CB"/>
    <w:rsid w:val="00FE52E7"/>
    <w:rsid w:val="00FE639E"/>
    <w:rsid w:val="00FE6F7C"/>
    <w:rsid w:val="00FF04DF"/>
    <w:rsid w:val="00FF1316"/>
    <w:rsid w:val="00FF2A1D"/>
    <w:rsid w:val="00FF2B08"/>
    <w:rsid w:val="00FF48C4"/>
    <w:rsid w:val="00FF5C3C"/>
    <w:rsid w:val="00FF5E29"/>
    <w:rsid w:val="00FF77C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ACE4"/>
  <w15:docId w15:val="{0F4C578F-39D5-4557-8034-D41242FE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pPr>
      <w:keepNext/>
      <w:keepLines/>
      <w:spacing w:before="1440" w:after="120"/>
      <w:outlineLvl w:val="0"/>
    </w:pPr>
    <w:rPr>
      <w:rFonts w:ascii="Calibri" w:eastAsiaTheme="majorEastAsia" w:hAnsi="Calibri" w:cstheme="majorBidi"/>
      <w:b/>
      <w:bCs/>
      <w:color w:val="3C4B55"/>
      <w:sz w:val="70"/>
      <w:szCs w:val="28"/>
      <w:lang w:eastAsia="en-US"/>
    </w:rPr>
  </w:style>
  <w:style w:type="paragraph" w:styleId="Heading2">
    <w:name w:val="heading 2"/>
    <w:basedOn w:val="Normal"/>
    <w:next w:val="Normal"/>
    <w:link w:val="Heading2Char"/>
    <w:uiPriority w:val="9"/>
    <w:qFormat/>
    <w:rsid w:val="007C4E2A"/>
    <w:pPr>
      <w:keepNext/>
      <w:keepLines/>
      <w:numPr>
        <w:numId w:val="12"/>
      </w:numPr>
      <w:spacing w:after="240" w:line="240" w:lineRule="auto"/>
      <w:outlineLvl w:val="1"/>
    </w:pPr>
    <w:rPr>
      <w:rFonts w:ascii="Calibri" w:eastAsiaTheme="minorEastAsia" w:hAnsi="Calibri"/>
      <w:bCs/>
      <w:color w:val="427BA1"/>
      <w:sz w:val="56"/>
      <w:szCs w:val="28"/>
      <w:lang w:eastAsia="ja-JP"/>
    </w:rPr>
  </w:style>
  <w:style w:type="paragraph" w:styleId="Heading3">
    <w:name w:val="heading 3"/>
    <w:next w:val="Normal"/>
    <w:link w:val="Heading3Char"/>
    <w:uiPriority w:val="9"/>
    <w:qFormat/>
    <w:rsid w:val="00BF0280"/>
    <w:pPr>
      <w:keepNext/>
      <w:keepLines/>
      <w:numPr>
        <w:ilvl w:val="1"/>
        <w:numId w:val="12"/>
      </w:numPr>
      <w:spacing w:before="240" w:after="240"/>
      <w:outlineLvl w:val="2"/>
    </w:pPr>
    <w:rPr>
      <w:rFonts w:ascii="Calibri" w:eastAsiaTheme="minorHAnsi" w:hAnsi="Calibri" w:cstheme="minorBidi"/>
      <w:b/>
      <w:bCs/>
      <w:sz w:val="28"/>
      <w:szCs w:val="22"/>
      <w:lang w:eastAsia="en-US"/>
    </w:rPr>
  </w:style>
  <w:style w:type="paragraph" w:styleId="Heading4">
    <w:name w:val="heading 4"/>
    <w:next w:val="Normal"/>
    <w:link w:val="Heading4Char"/>
    <w:uiPriority w:val="9"/>
    <w:qFormat/>
    <w:pPr>
      <w:keepNext/>
      <w:keepLines/>
      <w:numPr>
        <w:ilvl w:val="2"/>
        <w:numId w:val="12"/>
      </w:numPr>
      <w:spacing w:before="120"/>
      <w:outlineLvl w:val="3"/>
    </w:pPr>
    <w:rPr>
      <w:rFonts w:ascii="Calibri" w:eastAsiaTheme="minorHAnsi" w:hAnsi="Calibri" w:cstheme="minorBidi"/>
      <w:b/>
      <w:bCs/>
      <w:iCs/>
      <w:color w:val="427BA1"/>
      <w:sz w:val="24"/>
      <w:szCs w:val="22"/>
      <w:lang w:eastAsia="en-US"/>
    </w:rPr>
  </w:style>
  <w:style w:type="paragraph" w:styleId="Heading5">
    <w:name w:val="heading 5"/>
    <w:next w:val="Normal"/>
    <w:link w:val="Heading5Char"/>
    <w:uiPriority w:val="9"/>
    <w:qFormat/>
    <w:pPr>
      <w:keepNext/>
      <w:keepLines/>
      <w:spacing w:before="120"/>
      <w:outlineLvl w:val="4"/>
    </w:pPr>
    <w:rPr>
      <w:rFonts w:ascii="Calibri" w:eastAsiaTheme="minorHAnsi" w:hAnsi="Calibri" w:cstheme="minorBidi"/>
      <w:b/>
      <w:sz w:val="22"/>
      <w:szCs w:val="22"/>
      <w:lang w:eastAsia="en-US"/>
    </w:rPr>
  </w:style>
  <w:style w:type="paragraph" w:styleId="Heading6">
    <w:name w:val="heading 6"/>
    <w:next w:val="Normal"/>
    <w:link w:val="Heading6Char"/>
    <w:uiPriority w:val="9"/>
    <w:qFormat/>
    <w:pPr>
      <w:keepNext/>
      <w:keepLines/>
      <w:spacing w:before="40"/>
      <w:outlineLvl w:val="5"/>
    </w:pPr>
    <w:rPr>
      <w:rFonts w:asciiTheme="minorHAnsi" w:eastAsiaTheme="majorEastAsia" w:hAnsiTheme="minorHAnsi" w:cstheme="majorBidi"/>
      <w:i/>
      <w:sz w:val="22"/>
      <w:szCs w:val="22"/>
      <w:lang w:eastAsia="en-US"/>
    </w:rPr>
  </w:style>
  <w:style w:type="paragraph" w:styleId="Heading7">
    <w:name w:val="heading 7"/>
    <w:next w:val="Normal"/>
    <w:link w:val="Heading7Char"/>
    <w:uiPriority w:val="9"/>
    <w:qFormat/>
    <w:pPr>
      <w:outlineLvl w:val="6"/>
    </w:pPr>
    <w:rPr>
      <w:rFonts w:asciiTheme="minorHAnsi" w:eastAsiaTheme="majorEastAsia" w:hAnsiTheme="minorHAnsi" w:cstheme="majorBidi"/>
      <w:i/>
      <w:color w:val="243F60" w:themeColor="accent1" w:themeShade="7F"/>
      <w:sz w:val="22"/>
      <w:szCs w:val="22"/>
      <w:lang w:eastAsia="en-US"/>
    </w:rPr>
  </w:style>
  <w:style w:type="paragraph" w:styleId="Heading8">
    <w:name w:val="heading 8"/>
    <w:basedOn w:val="Normal"/>
    <w:next w:val="Normal"/>
    <w:link w:val="Heading8Char"/>
    <w:uiPriority w:val="9"/>
    <w:semiHidden/>
    <w:unhideWhenUsed/>
    <w:qFormat/>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7426"/>
    <w:pPr>
      <w:spacing w:after="0"/>
      <w:outlineLvl w:val="8"/>
    </w:pPr>
    <w:rPr>
      <w:rFonts w:ascii="Garamond" w:eastAsiaTheme="minorEastAsia" w:hAnsi="Garamond"/>
      <w:b/>
      <w:i/>
      <w:smallCaps/>
      <w:color w:val="622423" w:themeColor="accent2" w:themeShade="7F"/>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sz w:val="20"/>
      <w:szCs w:val="20"/>
    </w:rPr>
  </w:style>
  <w:style w:type="paragraph" w:styleId="Header">
    <w:name w:val="header"/>
    <w:basedOn w:val="Normal"/>
    <w:link w:val="HeaderChar"/>
    <w:uiPriority w:val="99"/>
    <w:pPr>
      <w:tabs>
        <w:tab w:val="center" w:pos="8505"/>
        <w:tab w:val="center" w:pos="13041"/>
      </w:tabs>
      <w:spacing w:line="36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imes New Roman" w:hAnsi="Calibri"/>
      <w:sz w:val="20"/>
      <w:szCs w:val="24"/>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paragraph" w:styleId="BalloonText">
    <w:name w:val="Balloon Text"/>
    <w:basedOn w:val="Normal"/>
    <w:link w:val="BalloonTextChar"/>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imes New Roman" w:hAnsi="Calibr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numbering" w:customStyle="1" w:styleId="Headings">
    <w:name w:val="Headings"/>
    <w:uiPriority w:val="99"/>
    <w:pPr>
      <w:numPr>
        <w:numId w:val="4"/>
      </w:numPr>
    </w:pPr>
  </w:style>
  <w:style w:type="character" w:customStyle="1" w:styleId="Heading1Char">
    <w:name w:val="Heading 1 Char"/>
    <w:basedOn w:val="DefaultParagraphFont"/>
    <w:link w:val="Heading1"/>
    <w:uiPriority w:val="9"/>
    <w:rPr>
      <w:rFonts w:ascii="Calibri" w:eastAsiaTheme="majorEastAsia" w:hAnsi="Calibri" w:cstheme="majorBidi"/>
      <w:b/>
      <w:bCs/>
      <w:color w:val="3C4B55"/>
      <w:sz w:val="70"/>
      <w:szCs w:val="28"/>
      <w:lang w:eastAsia="en-US"/>
    </w:rPr>
  </w:style>
  <w:style w:type="paragraph" w:styleId="ListParagraph">
    <w:name w:val="List Paragraph"/>
    <w:basedOn w:val="Normal"/>
    <w:uiPriority w:val="34"/>
    <w:qFormat/>
    <w:pPr>
      <w:ind w:left="720"/>
    </w:pPr>
  </w:style>
  <w:style w:type="character" w:customStyle="1" w:styleId="Heading2Char">
    <w:name w:val="Heading 2 Char"/>
    <w:basedOn w:val="DefaultParagraphFont"/>
    <w:link w:val="Heading2"/>
    <w:uiPriority w:val="9"/>
    <w:rsid w:val="007C4E2A"/>
    <w:rPr>
      <w:rFonts w:ascii="Calibri" w:eastAsiaTheme="minorEastAsia" w:hAnsi="Calibri" w:cstheme="minorBidi"/>
      <w:bCs/>
      <w:color w:val="427BA1"/>
      <w:sz w:val="56"/>
      <w:szCs w:val="28"/>
      <w:lang w:eastAsia="ja-JP"/>
    </w:rPr>
  </w:style>
  <w:style w:type="character" w:customStyle="1" w:styleId="Heading3Char">
    <w:name w:val="Heading 3 Char"/>
    <w:basedOn w:val="DefaultParagraphFont"/>
    <w:link w:val="Heading3"/>
    <w:uiPriority w:val="9"/>
    <w:rsid w:val="00BF0280"/>
    <w:rPr>
      <w:rFonts w:ascii="Calibri" w:eastAsiaTheme="minorHAnsi" w:hAnsi="Calibri" w:cstheme="minorBidi"/>
      <w:b/>
      <w:bCs/>
      <w:sz w:val="28"/>
      <w:szCs w:val="22"/>
      <w:lang w:eastAsia="en-US"/>
    </w:rPr>
  </w:style>
  <w:style w:type="character" w:customStyle="1" w:styleId="Heading4Char">
    <w:name w:val="Heading 4 Char"/>
    <w:basedOn w:val="DefaultParagraphFont"/>
    <w:link w:val="Heading4"/>
    <w:uiPriority w:val="9"/>
    <w:rPr>
      <w:rFonts w:ascii="Calibri" w:eastAsiaTheme="minorHAnsi" w:hAnsi="Calibri" w:cstheme="minorBidi"/>
      <w:b/>
      <w:bCs/>
      <w:iCs/>
      <w:color w:val="427BA1"/>
      <w:sz w:val="24"/>
      <w:szCs w:val="22"/>
      <w:lang w:eastAsia="en-US"/>
    </w:rPr>
  </w:style>
  <w:style w:type="character" w:customStyle="1" w:styleId="Heading5Char">
    <w:name w:val="Heading 5 Char"/>
    <w:basedOn w:val="DefaultParagraphFont"/>
    <w:link w:val="Heading5"/>
    <w:uiPriority w:val="9"/>
    <w:rPr>
      <w:rFonts w:ascii="Calibri" w:eastAsiaTheme="minorHAnsi" w:hAnsi="Calibri" w:cstheme="minorBidi"/>
      <w:b/>
      <w:sz w:val="22"/>
      <w:szCs w:val="22"/>
      <w:lang w:eastAsia="en-US"/>
    </w:rPr>
  </w:style>
  <w:style w:type="paragraph" w:styleId="Quote">
    <w:name w:val="Quote"/>
    <w:basedOn w:val="Normal"/>
    <w:next w:val="Normal"/>
    <w:link w:val="QuoteChar"/>
    <w:uiPriority w:val="29"/>
    <w:qFormat/>
    <w:pPr>
      <w:ind w:left="709" w:right="567"/>
    </w:pPr>
    <w:rPr>
      <w:iCs/>
      <w:color w:val="000000"/>
    </w:rPr>
  </w:style>
  <w:style w:type="character" w:customStyle="1" w:styleId="QuoteChar">
    <w:name w:val="Quote Char"/>
    <w:basedOn w:val="DefaultParagraphFont"/>
    <w:link w:val="Quote"/>
    <w:uiPriority w:val="29"/>
    <w:rPr>
      <w:rFonts w:eastAsia="Times New Roman"/>
      <w:iCs/>
      <w:color w:val="000000"/>
      <w:szCs w:val="24"/>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next w:val="Normal"/>
    <w:link w:val="CaptionChar"/>
    <w:uiPriority w:val="35"/>
    <w:qFormat/>
    <w:pPr>
      <w:keepNext/>
      <w:spacing w:after="120"/>
    </w:pPr>
    <w:rPr>
      <w:rFonts w:asciiTheme="minorHAnsi" w:eastAsiaTheme="majorEastAsia" w:hAnsiTheme="minorHAnsi" w:cstheme="majorBidi"/>
      <w:b/>
      <w:bCs/>
      <w:color w:val="000000" w:themeColor="text1"/>
      <w:sz w:val="22"/>
      <w:szCs w:val="18"/>
      <w:lang w:eastAsia="en-US"/>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TOCHeading">
    <w:name w:val="TOC Heading"/>
    <w:next w:val="Normal"/>
    <w:uiPriority w:val="39"/>
    <w:qFormat/>
    <w:rPr>
      <w:rFonts w:ascii="Calibri" w:eastAsiaTheme="majorEastAsia" w:hAnsi="Calibri" w:cstheme="majorBidi"/>
      <w:bCs/>
      <w:color w:val="427BA1"/>
      <w:sz w:val="56"/>
      <w:szCs w:val="28"/>
      <w:lang w:val="en-US" w:eastAsia="en-US"/>
    </w:rPr>
  </w:style>
  <w:style w:type="paragraph" w:styleId="TOC1">
    <w:name w:val="toc 1"/>
    <w:next w:val="Normal"/>
    <w:uiPriority w:val="39"/>
    <w:unhideWhenUsed/>
    <w:pPr>
      <w:tabs>
        <w:tab w:val="left" w:pos="426"/>
        <w:tab w:val="right" w:leader="dot" w:pos="9072"/>
      </w:tabs>
      <w:spacing w:before="120" w:after="120"/>
    </w:pPr>
    <w:rPr>
      <w:rFonts w:asciiTheme="minorHAnsi" w:eastAsiaTheme="minorHAnsi" w:hAnsiTheme="minorHAnsi" w:cstheme="minorBidi"/>
      <w:b/>
      <w:noProof/>
      <w:sz w:val="22"/>
      <w:szCs w:val="22"/>
      <w:lang w:eastAsia="en-US"/>
    </w:rPr>
  </w:style>
  <w:style w:type="paragraph" w:styleId="TOC2">
    <w:name w:val="toc 2"/>
    <w:basedOn w:val="Normal"/>
    <w:next w:val="Normal"/>
    <w:uiPriority w:val="39"/>
    <w:unhideWhenUse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uiPriority w:val="7"/>
    <w:qFormat/>
    <w:pPr>
      <w:numPr>
        <w:numId w:val="7"/>
      </w:numPr>
      <w:spacing w:before="120" w:after="120"/>
    </w:pPr>
    <w:rPr>
      <w:rFonts w:asciiTheme="minorHAnsi" w:eastAsiaTheme="minorHAnsi" w:hAnsiTheme="minorHAnsi" w:cstheme="minorBidi"/>
      <w:sz w:val="22"/>
      <w:szCs w:val="22"/>
      <w:lang w:eastAsia="en-US"/>
    </w:rPr>
  </w:style>
  <w:style w:type="paragraph" w:styleId="TableofFigures">
    <w:name w:val="table of figures"/>
    <w:basedOn w:val="Normal"/>
    <w:next w:val="Normal"/>
    <w:uiPriority w:val="99"/>
    <w:pPr>
      <w:spacing w:before="120" w:after="120" w:line="240" w:lineRule="auto"/>
    </w:pPr>
  </w:style>
  <w:style w:type="paragraph" w:styleId="ListBullet2">
    <w:name w:val="List Bullet 2"/>
    <w:uiPriority w:val="8"/>
    <w:qFormat/>
    <w:pPr>
      <w:numPr>
        <w:ilvl w:val="1"/>
        <w:numId w:val="7"/>
      </w:numPr>
      <w:spacing w:before="120" w:after="120"/>
      <w:contextualSpacing/>
    </w:pPr>
    <w:rPr>
      <w:rFonts w:asciiTheme="minorHAnsi" w:eastAsiaTheme="minorHAnsi" w:hAnsiTheme="minorHAnsi" w:cstheme="minorBidi"/>
      <w:sz w:val="22"/>
      <w:szCs w:val="22"/>
      <w:lang w:eastAsia="en-US"/>
    </w:rPr>
  </w:style>
  <w:style w:type="paragraph" w:styleId="ListNumber">
    <w:name w:val="List Number"/>
    <w:basedOn w:val="Normal"/>
    <w:uiPriority w:val="9"/>
    <w:qFormat/>
    <w:pPr>
      <w:numPr>
        <w:numId w:val="9"/>
      </w:numPr>
      <w:spacing w:before="120" w:after="120" w:line="280" w:lineRule="atLeast"/>
    </w:pPr>
    <w:rPr>
      <w:szCs w:val="20"/>
    </w:rPr>
  </w:style>
  <w:style w:type="paragraph" w:styleId="ListNumber2">
    <w:name w:val="List Number 2"/>
    <w:uiPriority w:val="10"/>
    <w:qFormat/>
    <w:pPr>
      <w:numPr>
        <w:ilvl w:val="1"/>
        <w:numId w:val="9"/>
      </w:numPr>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pPr>
      <w:numPr>
        <w:ilvl w:val="2"/>
        <w:numId w:val="9"/>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GB" w:eastAsia="zh-CN"/>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link w:val="TableTextChar"/>
    <w:uiPriority w:val="13"/>
    <w:qFormat/>
    <w:pPr>
      <w:spacing w:before="60" w:after="60"/>
    </w:pPr>
    <w:rPr>
      <w:rFonts w:asciiTheme="minorHAnsi" w:eastAsiaTheme="minorHAnsi" w:hAnsiTheme="minorHAnsi" w:cstheme="minorBidi"/>
      <w:sz w:val="18"/>
      <w:szCs w:val="22"/>
      <w:lang w:eastAsia="en-US"/>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uiPriority w:val="22"/>
    <w:qFormat/>
    <w:rPr>
      <w:b/>
      <w:bC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
    <w:name w:val="Table Bullet"/>
    <w:basedOn w:val="TableText"/>
    <w:uiPriority w:val="15"/>
    <w:qFormat/>
    <w:pPr>
      <w:numPr>
        <w:numId w:val="2"/>
      </w:numPr>
      <w:ind w:left="284" w:hanging="284"/>
    </w:pPr>
  </w:style>
  <w:style w:type="paragraph" w:styleId="DocumentMap">
    <w:name w:val="Document Map"/>
    <w:basedOn w:val="Normal"/>
    <w:link w:val="DocumentMapChar"/>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rPr>
  </w:style>
  <w:style w:type="paragraph" w:customStyle="1" w:styleId="TOCHeadingsamepage">
    <w:name w:val="TOC Heading (same page)"/>
    <w:basedOn w:val="TOCHeading"/>
    <w:next w:val="Normal"/>
    <w:uiPriority w:val="39"/>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sz w:val="36"/>
      <w:szCs w:val="36"/>
    </w:rPr>
  </w:style>
  <w:style w:type="paragraph" w:customStyle="1" w:styleId="DisseminationLimitingMarker">
    <w:name w:val="Dissemination Limiting Marker"/>
    <w:basedOn w:val="Header"/>
    <w:next w:val="Header"/>
    <w:uiPriority w:val="27"/>
    <w:qFormat/>
    <w:pPr>
      <w:spacing w:after="0"/>
    </w:pPr>
    <w:rPr>
      <w:b/>
      <w:sz w:val="36"/>
      <w:szCs w:val="36"/>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rPr>
      <w:lang w:val="en-US"/>
    </w:rPr>
  </w:style>
  <w:style w:type="numbering" w:customStyle="1" w:styleId="heading">
    <w:name w:val="heading"/>
    <w:uiPriority w:val="99"/>
    <w:pPr>
      <w:numPr>
        <w:numId w:val="10"/>
      </w:numPr>
    </w:pPr>
  </w:style>
  <w:style w:type="numbering" w:customStyle="1" w:styleId="captions">
    <w:name w:val="captions"/>
    <w:uiPriority w:val="99"/>
    <w:pPr>
      <w:numPr>
        <w:numId w:val="5"/>
      </w:numPr>
    </w:pPr>
  </w:style>
  <w:style w:type="character" w:customStyle="1" w:styleId="TableTextChar">
    <w:name w:val="Table Text Char"/>
    <w:basedOn w:val="DefaultParagraphFont"/>
    <w:link w:val="TableText"/>
    <w:uiPriority w:val="13"/>
    <w:rPr>
      <w:rFonts w:asciiTheme="minorHAnsi" w:eastAsiaTheme="minorHAnsi" w:hAnsiTheme="minorHAnsi" w:cstheme="minorBidi"/>
      <w:sz w:val="18"/>
      <w:szCs w:val="22"/>
      <w:lang w:eastAsia="en-US"/>
    </w:rPr>
  </w:style>
  <w:style w:type="character" w:customStyle="1" w:styleId="Heading7Char">
    <w:name w:val="Heading 7 Char"/>
    <w:basedOn w:val="DefaultParagraphFont"/>
    <w:link w:val="Heading7"/>
    <w:uiPriority w:val="9"/>
    <w:rPr>
      <w:rFonts w:asciiTheme="minorHAnsi" w:eastAsiaTheme="majorEastAsia" w:hAnsiTheme="minorHAnsi" w:cstheme="majorBidi"/>
      <w:i/>
      <w:color w:val="243F60" w:themeColor="accent1" w:themeShade="7F"/>
      <w:sz w:val="22"/>
      <w:szCs w:val="22"/>
      <w:lang w:eastAsia="en-US"/>
    </w:rPr>
  </w:style>
  <w:style w:type="numbering" w:customStyle="1" w:styleId="List1">
    <w:name w:val="List1"/>
    <w:basedOn w:val="NoList"/>
    <w:uiPriority w:val="99"/>
    <w:pPr>
      <w:numPr>
        <w:numId w:val="3"/>
      </w:numPr>
    </w:pPr>
  </w:style>
  <w:style w:type="character" w:customStyle="1" w:styleId="CaptionChar">
    <w:name w:val="Caption Char"/>
    <w:basedOn w:val="Heading1Char"/>
    <w:link w:val="Caption"/>
    <w:uiPriority w:val="35"/>
    <w:rPr>
      <w:rFonts w:asciiTheme="minorHAnsi" w:eastAsiaTheme="majorEastAsia" w:hAnsiTheme="minorHAnsi" w:cstheme="majorBidi"/>
      <w:b/>
      <w:bCs/>
      <w:color w:val="000000" w:themeColor="text1"/>
      <w:sz w:val="22"/>
      <w:szCs w:val="18"/>
      <w:lang w:eastAsia="en-US"/>
    </w:rPr>
  </w:style>
  <w:style w:type="numbering" w:customStyle="1" w:styleId="listbullets">
    <w:name w:val="list bullets"/>
    <w:uiPriority w:val="99"/>
    <w:pPr>
      <w:numPr>
        <w:numId w:val="6"/>
      </w:numPr>
    </w:pPr>
  </w:style>
  <w:style w:type="numbering" w:customStyle="1" w:styleId="ListNumber1">
    <w:name w:val="List Number1"/>
    <w:uiPriority w:val="99"/>
    <w:pPr>
      <w:numPr>
        <w:numId w:val="8"/>
      </w:numPr>
    </w:pPr>
  </w:style>
  <w:style w:type="character" w:customStyle="1" w:styleId="Heading6Char">
    <w:name w:val="Heading 6 Char"/>
    <w:basedOn w:val="DefaultParagraphFont"/>
    <w:link w:val="Heading6"/>
    <w:uiPriority w:val="9"/>
    <w:rPr>
      <w:rFonts w:asciiTheme="minorHAnsi" w:eastAsiaTheme="majorEastAsia" w:hAnsiTheme="minorHAnsi" w:cstheme="majorBidi"/>
      <w:i/>
      <w:sz w:val="22"/>
      <w:szCs w:val="22"/>
      <w:lang w:eastAsia="en-US"/>
    </w:rPr>
  </w:style>
  <w:style w:type="paragraph" w:styleId="Subtitle">
    <w:name w:val="Subtitle"/>
    <w:basedOn w:val="Heading1"/>
    <w:next w:val="Normal"/>
    <w:link w:val="SubtitleChar"/>
    <w:uiPriority w:val="11"/>
    <w:qFormat/>
    <w:pPr>
      <w:keepNext w:val="0"/>
      <w:keepLines w:val="0"/>
      <w:widowControl w:val="0"/>
      <w:spacing w:before="120" w:after="0"/>
      <w:contextualSpacing/>
    </w:pPr>
    <w:rPr>
      <w:rFonts w:eastAsiaTheme="minorHAnsi" w:cstheme="minorBidi"/>
      <w:b w:val="0"/>
      <w:color w:val="427BA1"/>
      <w:spacing w:val="5"/>
      <w:kern w:val="28"/>
      <w:sz w:val="56"/>
      <w:szCs w:val="56"/>
    </w:rPr>
  </w:style>
  <w:style w:type="character" w:customStyle="1" w:styleId="SubtitleChar">
    <w:name w:val="Subtitle Char"/>
    <w:basedOn w:val="DefaultParagraphFont"/>
    <w:link w:val="Subtitle"/>
    <w:uiPriority w:val="11"/>
    <w:rPr>
      <w:rFonts w:ascii="Calibri" w:eastAsiaTheme="minorHAnsi" w:hAnsi="Calibri" w:cstheme="minorBidi"/>
      <w:bCs/>
      <w:color w:val="427BA1"/>
      <w:spacing w:val="5"/>
      <w:kern w:val="28"/>
      <w:sz w:val="56"/>
      <w:szCs w:val="56"/>
      <w:lang w:eastAsia="en-US"/>
    </w:rPr>
  </w:style>
  <w:style w:type="paragraph" w:styleId="Revision">
    <w:name w:val="Revision"/>
    <w:hidden/>
    <w:uiPriority w:val="99"/>
    <w:semiHidden/>
    <w:rPr>
      <w:rFonts w:eastAsiaTheme="minorHAnsi" w:cstheme="minorBidi"/>
      <w:sz w:val="22"/>
      <w:szCs w:val="22"/>
      <w:lang w:eastAsia="en-US"/>
    </w:rPr>
  </w:style>
  <w:style w:type="paragraph" w:customStyle="1" w:styleId="Documenttype">
    <w:name w:val="Document type"/>
    <w:basedOn w:val="Normal"/>
    <w:qFormat/>
    <w:pPr>
      <w:spacing w:before="360" w:after="0"/>
    </w:pPr>
    <w:rPr>
      <w:color w:val="427BA1"/>
      <w:sz w:val="36"/>
    </w:rPr>
  </w:style>
  <w:style w:type="paragraph" w:customStyle="1" w:styleId="Publicationdate">
    <w:name w:val="Publication date"/>
    <w:basedOn w:val="Normal"/>
    <w:qFormat/>
    <w:rPr>
      <w:color w:val="666C60"/>
      <w:sz w:val="28"/>
    </w:rPr>
  </w:style>
  <w:style w:type="paragraph" w:customStyle="1" w:styleId="TOCHeading2">
    <w:name w:val="TOC Heading 2"/>
    <w:next w:val="Normal"/>
    <w:uiPriority w:val="39"/>
    <w:rPr>
      <w:rFonts w:ascii="Calibri" w:eastAsiaTheme="majorEastAsia" w:hAnsi="Calibri" w:cstheme="majorBidi"/>
      <w:bCs/>
      <w:color w:val="427BA1"/>
      <w:sz w:val="36"/>
      <w:szCs w:val="28"/>
      <w:lang w:val="en-US" w:eastAsia="en-US"/>
    </w:rPr>
  </w:style>
  <w:style w:type="numbering" w:customStyle="1" w:styleId="Style1">
    <w:name w:val="Style1"/>
    <w:uiPriority w:val="99"/>
    <w:pPr>
      <w:numPr>
        <w:numId w:val="11"/>
      </w:numPr>
    </w:pPr>
  </w:style>
  <w:style w:type="character" w:customStyle="1" w:styleId="Heading8Char">
    <w:name w:val="Heading 8 Char"/>
    <w:basedOn w:val="DefaultParagraphFont"/>
    <w:link w:val="Heading8"/>
    <w:uiPriority w:val="9"/>
    <w:semiHidden/>
    <w:rPr>
      <w:rFonts w:asciiTheme="minorHAnsi" w:eastAsiaTheme="majorEastAsia" w:hAnsiTheme="minorHAnsi" w:cstheme="majorBidi"/>
      <w:color w:val="272727" w:themeColor="text1" w:themeTint="D8"/>
      <w:sz w:val="21"/>
      <w:szCs w:val="21"/>
      <w:lang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heme="minorHAnsi" w:eastAsiaTheme="minorHAnsi" w:hAnsiTheme="minorHAnsi" w:cstheme="minorBidi"/>
      <w:i/>
      <w:iCs/>
      <w:color w:val="4F81BD" w:themeColor="accent1"/>
      <w:sz w:val="22"/>
      <w:szCs w:val="22"/>
      <w:lang w:eastAsia="en-US"/>
    </w:rPr>
  </w:style>
  <w:style w:type="paragraph" w:customStyle="1" w:styleId="Figurecaption">
    <w:name w:val="Figure caption"/>
    <w:basedOn w:val="Normal"/>
    <w:link w:val="FigurecaptionChar"/>
    <w:qFormat/>
    <w:rsid w:val="001303C0"/>
    <w:pPr>
      <w:spacing w:before="120"/>
      <w:ind w:left="799" w:hanging="799"/>
      <w:jc w:val="center"/>
    </w:pPr>
    <w:rPr>
      <w:rFonts w:ascii="Myriad Pro" w:eastAsiaTheme="minorEastAsia" w:hAnsi="Myriad Pro"/>
      <w:sz w:val="18"/>
      <w:szCs w:val="18"/>
      <w:lang w:bidi="en-US"/>
    </w:rPr>
  </w:style>
  <w:style w:type="character" w:customStyle="1" w:styleId="FigurecaptionChar">
    <w:name w:val="Figure caption Char"/>
    <w:basedOn w:val="DefaultParagraphFont"/>
    <w:link w:val="Figurecaption"/>
    <w:rsid w:val="001303C0"/>
    <w:rPr>
      <w:rFonts w:ascii="Myriad Pro" w:eastAsiaTheme="minorEastAsia" w:hAnsi="Myriad Pro" w:cstheme="minorBidi"/>
      <w:sz w:val="18"/>
      <w:szCs w:val="18"/>
      <w:lang w:eastAsia="en-US" w:bidi="en-US"/>
    </w:rPr>
  </w:style>
  <w:style w:type="character" w:customStyle="1" w:styleId="Heading9Char">
    <w:name w:val="Heading 9 Char"/>
    <w:basedOn w:val="DefaultParagraphFont"/>
    <w:link w:val="Heading9"/>
    <w:uiPriority w:val="9"/>
    <w:semiHidden/>
    <w:rsid w:val="008F7426"/>
    <w:rPr>
      <w:rFonts w:ascii="Garamond" w:eastAsiaTheme="minorEastAsia" w:hAnsi="Garamond" w:cstheme="minorBidi"/>
      <w:b/>
      <w:i/>
      <w:smallCaps/>
      <w:color w:val="622423" w:themeColor="accent2" w:themeShade="7F"/>
      <w:sz w:val="22"/>
      <w:lang w:val="en-US" w:eastAsia="en-US" w:bidi="en-US"/>
    </w:rPr>
  </w:style>
  <w:style w:type="paragraph" w:customStyle="1" w:styleId="Definition">
    <w:name w:val="Definition"/>
    <w:basedOn w:val="Normal"/>
    <w:rsid w:val="008F7426"/>
    <w:pPr>
      <w:tabs>
        <w:tab w:val="left" w:pos="1701"/>
      </w:tabs>
      <w:ind w:left="1701" w:hanging="1701"/>
      <w:jc w:val="both"/>
    </w:pPr>
    <w:rPr>
      <w:rFonts w:ascii="Garamond" w:eastAsiaTheme="minorEastAsia" w:hAnsi="Garamond"/>
      <w:szCs w:val="20"/>
      <w:lang w:val="en-US" w:bidi="en-US"/>
    </w:rPr>
  </w:style>
  <w:style w:type="paragraph" w:styleId="BodyText">
    <w:name w:val="Body Text"/>
    <w:basedOn w:val="Normal"/>
    <w:link w:val="BodyTextChar"/>
    <w:rsid w:val="008F7426"/>
    <w:pPr>
      <w:jc w:val="center"/>
    </w:pPr>
    <w:rPr>
      <w:rFonts w:ascii="Book Antiqua" w:eastAsiaTheme="minorEastAsia" w:hAnsi="Book Antiqua"/>
      <w:szCs w:val="20"/>
      <w:lang w:val="en-US" w:bidi="en-US"/>
    </w:rPr>
  </w:style>
  <w:style w:type="character" w:customStyle="1" w:styleId="BodyTextChar">
    <w:name w:val="Body Text Char"/>
    <w:basedOn w:val="DefaultParagraphFont"/>
    <w:link w:val="BodyText"/>
    <w:rsid w:val="008F7426"/>
    <w:rPr>
      <w:rFonts w:ascii="Book Antiqua" w:eastAsiaTheme="minorEastAsia" w:hAnsi="Book Antiqua" w:cstheme="minorBidi"/>
      <w:sz w:val="22"/>
      <w:lang w:val="en-US" w:eastAsia="en-US" w:bidi="en-US"/>
    </w:rPr>
  </w:style>
  <w:style w:type="paragraph" w:styleId="FootnoteText">
    <w:name w:val="footnote text"/>
    <w:basedOn w:val="Normal"/>
    <w:link w:val="FootnoteTextChar"/>
    <w:uiPriority w:val="99"/>
    <w:rsid w:val="008F7426"/>
    <w:pPr>
      <w:jc w:val="both"/>
    </w:pPr>
    <w:rPr>
      <w:rFonts w:ascii="Garamond" w:eastAsiaTheme="minorEastAsia" w:hAnsi="Garamond"/>
      <w:szCs w:val="20"/>
      <w:lang w:val="en-GB" w:bidi="en-US"/>
    </w:rPr>
  </w:style>
  <w:style w:type="character" w:customStyle="1" w:styleId="FootnoteTextChar">
    <w:name w:val="Footnote Text Char"/>
    <w:basedOn w:val="DefaultParagraphFont"/>
    <w:link w:val="FootnoteText"/>
    <w:uiPriority w:val="99"/>
    <w:rsid w:val="008F7426"/>
    <w:rPr>
      <w:rFonts w:ascii="Garamond" w:eastAsiaTheme="minorEastAsia" w:hAnsi="Garamond" w:cstheme="minorBidi"/>
      <w:sz w:val="22"/>
      <w:lang w:val="en-GB" w:eastAsia="en-US" w:bidi="en-US"/>
    </w:rPr>
  </w:style>
  <w:style w:type="paragraph" w:customStyle="1" w:styleId="table1">
    <w:name w:val="table 1"/>
    <w:rsid w:val="008F7426"/>
    <w:pPr>
      <w:spacing w:before="60" w:after="60" w:line="200" w:lineRule="atLeast"/>
      <w:jc w:val="both"/>
    </w:pPr>
    <w:rPr>
      <w:rFonts w:ascii="Arial" w:eastAsiaTheme="minorEastAsia" w:hAnsi="Arial" w:cstheme="minorBidi"/>
      <w:sz w:val="16"/>
      <w:lang w:eastAsia="en-US"/>
    </w:rPr>
  </w:style>
  <w:style w:type="paragraph" w:customStyle="1" w:styleId="Normalbodytext">
    <w:name w:val="Normal body text"/>
    <w:basedOn w:val="Normal"/>
    <w:link w:val="NormalbodytextChar"/>
    <w:rsid w:val="008F7426"/>
    <w:pPr>
      <w:spacing w:before="120" w:after="240" w:line="320" w:lineRule="atLeast"/>
      <w:jc w:val="both"/>
    </w:pPr>
    <w:rPr>
      <w:rFonts w:ascii="Garamond" w:eastAsiaTheme="minorEastAsia" w:hAnsi="Garamond"/>
      <w:szCs w:val="20"/>
      <w:lang w:val="en-NZ" w:bidi="en-US"/>
    </w:rPr>
  </w:style>
  <w:style w:type="character" w:customStyle="1" w:styleId="NormalbodytextChar">
    <w:name w:val="Normal body text Char"/>
    <w:basedOn w:val="DefaultParagraphFont"/>
    <w:link w:val="Normalbodytext"/>
    <w:rsid w:val="008F7426"/>
    <w:rPr>
      <w:rFonts w:ascii="Garamond" w:eastAsiaTheme="minorEastAsia" w:hAnsi="Garamond" w:cstheme="minorBidi"/>
      <w:sz w:val="22"/>
      <w:lang w:val="en-NZ" w:eastAsia="en-US" w:bidi="en-US"/>
    </w:rPr>
  </w:style>
  <w:style w:type="paragraph" w:customStyle="1" w:styleId="References">
    <w:name w:val="References"/>
    <w:basedOn w:val="Normalbodytext"/>
    <w:rsid w:val="008F7426"/>
    <w:pPr>
      <w:keepNext/>
      <w:ind w:left="284" w:right="-6" w:hanging="284"/>
    </w:pPr>
  </w:style>
  <w:style w:type="paragraph" w:customStyle="1" w:styleId="Tabletext0">
    <w:name w:val="Table text"/>
    <w:basedOn w:val="Normalbodytext"/>
    <w:qFormat/>
    <w:rsid w:val="008F7426"/>
    <w:pPr>
      <w:keepNext/>
      <w:spacing w:after="120" w:line="240" w:lineRule="auto"/>
    </w:pPr>
    <w:rPr>
      <w:rFonts w:ascii="Arial" w:hAnsi="Arial"/>
      <w:sz w:val="18"/>
    </w:rPr>
  </w:style>
  <w:style w:type="paragraph" w:styleId="Title">
    <w:name w:val="Title"/>
    <w:basedOn w:val="Normal"/>
    <w:next w:val="Normal"/>
    <w:link w:val="TitleChar"/>
    <w:uiPriority w:val="10"/>
    <w:qFormat/>
    <w:rsid w:val="008F7426"/>
    <w:pPr>
      <w:pBdr>
        <w:top w:val="single" w:sz="12" w:space="1" w:color="C0504D" w:themeColor="accent2"/>
      </w:pBdr>
      <w:spacing w:line="240" w:lineRule="auto"/>
      <w:jc w:val="right"/>
    </w:pPr>
    <w:rPr>
      <w:rFonts w:ascii="Garamond" w:eastAsiaTheme="minorEastAsia" w:hAnsi="Garamond"/>
      <w:smallCaps/>
      <w:sz w:val="48"/>
      <w:szCs w:val="48"/>
      <w:lang w:val="en-US" w:bidi="en-US"/>
    </w:rPr>
  </w:style>
  <w:style w:type="character" w:customStyle="1" w:styleId="TitleChar">
    <w:name w:val="Title Char"/>
    <w:basedOn w:val="DefaultParagraphFont"/>
    <w:link w:val="Title"/>
    <w:uiPriority w:val="10"/>
    <w:rsid w:val="008F7426"/>
    <w:rPr>
      <w:rFonts w:ascii="Garamond" w:eastAsiaTheme="minorEastAsia" w:hAnsi="Garamond" w:cstheme="minorBidi"/>
      <w:smallCaps/>
      <w:sz w:val="48"/>
      <w:szCs w:val="48"/>
      <w:lang w:val="en-US" w:eastAsia="en-US" w:bidi="en-US"/>
    </w:rPr>
  </w:style>
  <w:style w:type="paragraph" w:styleId="NoSpacing">
    <w:name w:val="No Spacing"/>
    <w:basedOn w:val="Normal"/>
    <w:link w:val="NoSpacingChar"/>
    <w:uiPriority w:val="1"/>
    <w:qFormat/>
    <w:rsid w:val="008F7426"/>
    <w:pPr>
      <w:spacing w:after="0" w:line="240" w:lineRule="auto"/>
      <w:jc w:val="both"/>
    </w:pPr>
    <w:rPr>
      <w:rFonts w:ascii="Garamond" w:eastAsiaTheme="minorEastAsia" w:hAnsi="Garamond"/>
      <w:szCs w:val="20"/>
      <w:lang w:val="en-US" w:bidi="en-US"/>
    </w:rPr>
  </w:style>
  <w:style w:type="character" w:styleId="SubtleEmphasis">
    <w:name w:val="Subtle Emphasis"/>
    <w:uiPriority w:val="19"/>
    <w:qFormat/>
    <w:rsid w:val="008F7426"/>
    <w:rPr>
      <w:i/>
    </w:rPr>
  </w:style>
  <w:style w:type="character" w:styleId="IntenseEmphasis">
    <w:name w:val="Intense Emphasis"/>
    <w:uiPriority w:val="21"/>
    <w:qFormat/>
    <w:rsid w:val="008F7426"/>
    <w:rPr>
      <w:b/>
      <w:i/>
      <w:color w:val="C0504D" w:themeColor="accent2"/>
      <w:spacing w:val="10"/>
    </w:rPr>
  </w:style>
  <w:style w:type="character" w:styleId="SubtleReference">
    <w:name w:val="Subtle Reference"/>
    <w:uiPriority w:val="31"/>
    <w:qFormat/>
    <w:rsid w:val="008F7426"/>
    <w:rPr>
      <w:b/>
    </w:rPr>
  </w:style>
  <w:style w:type="character" w:styleId="IntenseReference">
    <w:name w:val="Intense Reference"/>
    <w:uiPriority w:val="32"/>
    <w:qFormat/>
    <w:rsid w:val="008F7426"/>
    <w:rPr>
      <w:b/>
      <w:bCs/>
      <w:smallCaps/>
      <w:spacing w:val="5"/>
      <w:sz w:val="22"/>
      <w:szCs w:val="22"/>
      <w:u w:val="single"/>
    </w:rPr>
  </w:style>
  <w:style w:type="character" w:styleId="BookTitle">
    <w:name w:val="Book Title"/>
    <w:uiPriority w:val="33"/>
    <w:qFormat/>
    <w:rsid w:val="008F7426"/>
    <w:rPr>
      <w:rFonts w:asciiTheme="majorHAnsi" w:eastAsiaTheme="majorEastAsia" w:hAnsiTheme="majorHAnsi" w:cstheme="majorBidi"/>
      <w:i/>
      <w:iCs/>
      <w:sz w:val="20"/>
      <w:szCs w:val="20"/>
    </w:rPr>
  </w:style>
  <w:style w:type="character" w:styleId="HTMLAcronym">
    <w:name w:val="HTML Acronym"/>
    <w:basedOn w:val="DefaultParagraphFont"/>
    <w:uiPriority w:val="99"/>
    <w:unhideWhenUsed/>
    <w:rsid w:val="008F7426"/>
  </w:style>
  <w:style w:type="character" w:customStyle="1" w:styleId="NoSpacingChar">
    <w:name w:val="No Spacing Char"/>
    <w:basedOn w:val="DefaultParagraphFont"/>
    <w:link w:val="NoSpacing"/>
    <w:uiPriority w:val="1"/>
    <w:rsid w:val="008F7426"/>
    <w:rPr>
      <w:rFonts w:ascii="Garamond" w:eastAsiaTheme="minorEastAsia" w:hAnsi="Garamond" w:cstheme="minorBidi"/>
      <w:sz w:val="22"/>
      <w:lang w:val="en-US" w:eastAsia="en-US" w:bidi="en-US"/>
    </w:rPr>
  </w:style>
  <w:style w:type="paragraph" w:customStyle="1" w:styleId="Heading1waterquality">
    <w:name w:val="Heading 1 water quality"/>
    <w:basedOn w:val="Title"/>
    <w:link w:val="Heading1waterqualityChar"/>
    <w:qFormat/>
    <w:rsid w:val="008F7426"/>
    <w:pPr>
      <w:spacing w:after="0"/>
    </w:pPr>
    <w:rPr>
      <w:rFonts w:ascii="Myriad Pro" w:hAnsi="Myriad Pro"/>
      <w:caps/>
      <w:smallCaps w:val="0"/>
      <w:color w:val="427BA1"/>
      <w:spacing w:val="20"/>
      <w:sz w:val="32"/>
      <w:szCs w:val="32"/>
    </w:rPr>
  </w:style>
  <w:style w:type="paragraph" w:customStyle="1" w:styleId="Table1caption">
    <w:name w:val="Table 1 caption"/>
    <w:basedOn w:val="Normal"/>
    <w:link w:val="Table1captionChar"/>
    <w:qFormat/>
    <w:rsid w:val="008F7426"/>
    <w:pPr>
      <w:spacing w:before="200" w:after="120"/>
      <w:jc w:val="both"/>
    </w:pPr>
    <w:rPr>
      <w:rFonts w:ascii="Myriad Pro" w:eastAsiaTheme="minorEastAsia" w:hAnsi="Myriad Pro" w:cstheme="minorHAnsi"/>
      <w:b/>
      <w:sz w:val="18"/>
      <w:szCs w:val="18"/>
      <w:lang w:val="en-US" w:bidi="en-US"/>
    </w:rPr>
  </w:style>
  <w:style w:type="character" w:customStyle="1" w:styleId="Heading1waterqualityChar">
    <w:name w:val="Heading 1 water quality Char"/>
    <w:basedOn w:val="Heading2Char"/>
    <w:link w:val="Heading1waterquality"/>
    <w:rsid w:val="008F7426"/>
    <w:rPr>
      <w:rFonts w:ascii="Myriad Pro" w:eastAsiaTheme="minorEastAsia" w:hAnsi="Myriad Pro" w:cstheme="minorBidi"/>
      <w:bCs w:val="0"/>
      <w:caps/>
      <w:color w:val="427BA1"/>
      <w:spacing w:val="20"/>
      <w:sz w:val="32"/>
      <w:szCs w:val="32"/>
      <w:lang w:val="en-US" w:eastAsia="en-US" w:bidi="en-US"/>
    </w:rPr>
  </w:style>
  <w:style w:type="character" w:customStyle="1" w:styleId="Table1captionChar">
    <w:name w:val="Table 1 caption Char"/>
    <w:basedOn w:val="DefaultParagraphFont"/>
    <w:link w:val="Table1caption"/>
    <w:rsid w:val="008F7426"/>
    <w:rPr>
      <w:rFonts w:ascii="Myriad Pro" w:eastAsiaTheme="minorEastAsia" w:hAnsi="Myriad Pro" w:cstheme="minorHAnsi"/>
      <w:b/>
      <w:sz w:val="18"/>
      <w:szCs w:val="18"/>
      <w:lang w:val="en-US" w:eastAsia="en-US" w:bidi="en-US"/>
    </w:rPr>
  </w:style>
  <w:style w:type="character" w:styleId="HTMLCite">
    <w:name w:val="HTML Cite"/>
    <w:basedOn w:val="DefaultParagraphFont"/>
    <w:uiPriority w:val="99"/>
    <w:unhideWhenUsed/>
    <w:rsid w:val="008F7426"/>
    <w:rPr>
      <w:i/>
      <w:iCs/>
    </w:rPr>
  </w:style>
  <w:style w:type="character" w:customStyle="1" w:styleId="author0">
    <w:name w:val="author"/>
    <w:basedOn w:val="DefaultParagraphFont"/>
    <w:rsid w:val="008F7426"/>
  </w:style>
  <w:style w:type="character" w:customStyle="1" w:styleId="pubyear">
    <w:name w:val="pubyear"/>
    <w:basedOn w:val="DefaultParagraphFont"/>
    <w:rsid w:val="008F7426"/>
  </w:style>
  <w:style w:type="character" w:customStyle="1" w:styleId="chaptertitle">
    <w:name w:val="chaptertitle"/>
    <w:basedOn w:val="DefaultParagraphFont"/>
    <w:rsid w:val="008F7426"/>
  </w:style>
  <w:style w:type="character" w:customStyle="1" w:styleId="editor">
    <w:name w:val="editor"/>
    <w:basedOn w:val="DefaultParagraphFont"/>
    <w:rsid w:val="008F7426"/>
  </w:style>
  <w:style w:type="character" w:customStyle="1" w:styleId="booktitle0">
    <w:name w:val="booktitle"/>
    <w:basedOn w:val="DefaultParagraphFont"/>
    <w:rsid w:val="008F7426"/>
  </w:style>
  <w:style w:type="character" w:customStyle="1" w:styleId="publisherlocation">
    <w:name w:val="publisherlocation"/>
    <w:basedOn w:val="DefaultParagraphFont"/>
    <w:rsid w:val="008F7426"/>
  </w:style>
  <w:style w:type="character" w:customStyle="1" w:styleId="pagefirst">
    <w:name w:val="pagefirst"/>
    <w:basedOn w:val="DefaultParagraphFont"/>
    <w:rsid w:val="008F7426"/>
  </w:style>
  <w:style w:type="character" w:customStyle="1" w:styleId="pagelast">
    <w:name w:val="pagelast"/>
    <w:basedOn w:val="DefaultParagraphFont"/>
    <w:rsid w:val="008F7426"/>
  </w:style>
  <w:style w:type="character" w:customStyle="1" w:styleId="articletitle">
    <w:name w:val="articletitle"/>
    <w:basedOn w:val="DefaultParagraphFont"/>
    <w:rsid w:val="008F7426"/>
  </w:style>
  <w:style w:type="character" w:customStyle="1" w:styleId="journaltitle">
    <w:name w:val="journaltitle"/>
    <w:basedOn w:val="DefaultParagraphFont"/>
    <w:rsid w:val="008F7426"/>
  </w:style>
  <w:style w:type="character" w:customStyle="1" w:styleId="vol">
    <w:name w:val="vol"/>
    <w:basedOn w:val="DefaultParagraphFont"/>
    <w:rsid w:val="008F7426"/>
  </w:style>
  <w:style w:type="table" w:styleId="LightShading">
    <w:name w:val="Light Shading"/>
    <w:basedOn w:val="TableNormal"/>
    <w:uiPriority w:val="60"/>
    <w:rsid w:val="008F7426"/>
    <w:pPr>
      <w:jc w:val="both"/>
    </w:pPr>
    <w:rPr>
      <w:rFonts w:asciiTheme="minorHAnsi" w:eastAsiaTheme="minorEastAsia" w:hAnsiTheme="minorHAnsi" w:cstheme="minorBidi"/>
      <w:color w:val="000000" w:themeColor="text1" w:themeShade="BF"/>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List1">
    <w:name w:val="Table List 1"/>
    <w:basedOn w:val="TableNormal"/>
    <w:rsid w:val="008F7426"/>
    <w:pPr>
      <w:spacing w:after="200" w:line="276" w:lineRule="auto"/>
      <w:jc w:val="both"/>
    </w:pPr>
    <w:rPr>
      <w:rFonts w:asciiTheme="minorHAnsi" w:eastAsiaTheme="minorEastAsia" w:hAnsiTheme="minorHAnsi" w:cstheme="minorBidi"/>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FE2316"/>
    <w:rPr>
      <w:color w:val="605E5C"/>
      <w:shd w:val="clear" w:color="auto" w:fill="E1DFDD"/>
    </w:rPr>
  </w:style>
  <w:style w:type="paragraph" w:customStyle="1" w:styleId="pf0">
    <w:name w:val="pf0"/>
    <w:basedOn w:val="Normal"/>
    <w:rsid w:val="00476F4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76F44"/>
    <w:rPr>
      <w:rFonts w:ascii="Segoe UI" w:hAnsi="Segoe UI" w:cs="Segoe UI" w:hint="default"/>
      <w:sz w:val="18"/>
      <w:szCs w:val="18"/>
    </w:rPr>
  </w:style>
  <w:style w:type="character" w:styleId="PageNumber">
    <w:name w:val="page number"/>
    <w:basedOn w:val="DefaultParagraphFont"/>
    <w:uiPriority w:val="99"/>
    <w:semiHidden/>
    <w:unhideWhenUsed/>
    <w:rsid w:val="00FF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40">
      <w:bodyDiv w:val="1"/>
      <w:marLeft w:val="0"/>
      <w:marRight w:val="0"/>
      <w:marTop w:val="0"/>
      <w:marBottom w:val="0"/>
      <w:divBdr>
        <w:top w:val="none" w:sz="0" w:space="0" w:color="auto"/>
        <w:left w:val="none" w:sz="0" w:space="0" w:color="auto"/>
        <w:bottom w:val="none" w:sz="0" w:space="0" w:color="auto"/>
        <w:right w:val="none" w:sz="0" w:space="0" w:color="auto"/>
      </w:divBdr>
    </w:div>
    <w:div w:id="289288450">
      <w:bodyDiv w:val="1"/>
      <w:marLeft w:val="0"/>
      <w:marRight w:val="0"/>
      <w:marTop w:val="0"/>
      <w:marBottom w:val="0"/>
      <w:divBdr>
        <w:top w:val="none" w:sz="0" w:space="0" w:color="auto"/>
        <w:left w:val="none" w:sz="0" w:space="0" w:color="auto"/>
        <w:bottom w:val="none" w:sz="0" w:space="0" w:color="auto"/>
        <w:right w:val="none" w:sz="0" w:space="0" w:color="auto"/>
      </w:divBdr>
    </w:div>
    <w:div w:id="294063249">
      <w:bodyDiv w:val="1"/>
      <w:marLeft w:val="0"/>
      <w:marRight w:val="0"/>
      <w:marTop w:val="0"/>
      <w:marBottom w:val="0"/>
      <w:divBdr>
        <w:top w:val="none" w:sz="0" w:space="0" w:color="auto"/>
        <w:left w:val="none" w:sz="0" w:space="0" w:color="auto"/>
        <w:bottom w:val="none" w:sz="0" w:space="0" w:color="auto"/>
        <w:right w:val="none" w:sz="0" w:space="0" w:color="auto"/>
      </w:divBdr>
    </w:div>
    <w:div w:id="300772446">
      <w:bodyDiv w:val="1"/>
      <w:marLeft w:val="0"/>
      <w:marRight w:val="0"/>
      <w:marTop w:val="0"/>
      <w:marBottom w:val="0"/>
      <w:divBdr>
        <w:top w:val="none" w:sz="0" w:space="0" w:color="auto"/>
        <w:left w:val="none" w:sz="0" w:space="0" w:color="auto"/>
        <w:bottom w:val="none" w:sz="0" w:space="0" w:color="auto"/>
        <w:right w:val="none" w:sz="0" w:space="0" w:color="auto"/>
      </w:divBdr>
    </w:div>
    <w:div w:id="321852229">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4883168">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5114605">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1766386">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65308">
      <w:bodyDiv w:val="1"/>
      <w:marLeft w:val="0"/>
      <w:marRight w:val="0"/>
      <w:marTop w:val="0"/>
      <w:marBottom w:val="0"/>
      <w:divBdr>
        <w:top w:val="none" w:sz="0" w:space="0" w:color="auto"/>
        <w:left w:val="none" w:sz="0" w:space="0" w:color="auto"/>
        <w:bottom w:val="none" w:sz="0" w:space="0" w:color="auto"/>
        <w:right w:val="none" w:sz="0" w:space="0" w:color="auto"/>
      </w:divBdr>
    </w:div>
    <w:div w:id="125928867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66201721">
      <w:bodyDiv w:val="1"/>
      <w:marLeft w:val="0"/>
      <w:marRight w:val="0"/>
      <w:marTop w:val="0"/>
      <w:marBottom w:val="0"/>
      <w:divBdr>
        <w:top w:val="none" w:sz="0" w:space="0" w:color="auto"/>
        <w:left w:val="none" w:sz="0" w:space="0" w:color="auto"/>
        <w:bottom w:val="none" w:sz="0" w:space="0" w:color="auto"/>
        <w:right w:val="none" w:sz="0" w:space="0" w:color="auto"/>
      </w:divBdr>
    </w:div>
    <w:div w:id="1692949846">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reativecommons.org/licenses/by/4.0/" TargetMode="External"/><Relationship Id="rId26" Type="http://schemas.openxmlformats.org/officeDocument/2006/relationships/image" Target="media/image6.png"/><Relationship Id="rId39" Type="http://schemas.openxmlformats.org/officeDocument/2006/relationships/hyperlink" Target="http://cfpub.epa.gov/ecotox" TargetMode="External"/><Relationship Id="rId21" Type="http://schemas.openxmlformats.org/officeDocument/2006/relationships/hyperlink" Target="http://www.waterquality.gov.au/anz-guidelines/guideline-values/default/water-quality-toxicants/toxicants" TargetMode="External"/><Relationship Id="rId34" Type="http://schemas.openxmlformats.org/officeDocument/2006/relationships/hyperlink" Target="https://www.fireants.org.au/tools/factsheets/all-resources/treating-fire-ant-nests" TargetMode="External"/><Relationship Id="rId42" Type="http://schemas.openxmlformats.org/officeDocument/2006/relationships/header" Target="header4.xml"/><Relationship Id="rId47"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9.emf"/><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www.waterquality.gov.au/anz-guidelines" TargetMode="External"/><Relationship Id="rId37" Type="http://schemas.openxmlformats.org/officeDocument/2006/relationships/hyperlink" Target="https://www.catalogueoflife.org/" TargetMode="External"/><Relationship Id="rId40" Type="http://schemas.openxmlformats.org/officeDocument/2006/relationships/hyperlink" Target="https://storymaps.arcgis.com/stories/c0f0c6d7d88a4fd3a5541fe59f41ff75"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jpg"/><Relationship Id="rId28" Type="http://schemas.openxmlformats.org/officeDocument/2006/relationships/image" Target="media/image8.png"/><Relationship Id="rId36" Type="http://schemas.openxmlformats.org/officeDocument/2006/relationships/hyperlink" Target="https://www.itis.gov/"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legalcode" TargetMode="External"/><Relationship Id="rId31" Type="http://schemas.openxmlformats.org/officeDocument/2006/relationships/hyperlink" Target="https://www.ala.org.au/"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waterquality@dcceew.gov.au" TargetMode="External"/><Relationship Id="rId27" Type="http://schemas.openxmlformats.org/officeDocument/2006/relationships/image" Target="media/image7.png"/><Relationship Id="rId30" Type="http://schemas.openxmlformats.org/officeDocument/2006/relationships/hyperlink" Target="https://eatsafe.nzfsa.govt.nz/web/public/acvm-register" TargetMode="External"/><Relationship Id="rId35" Type="http://schemas.openxmlformats.org/officeDocument/2006/relationships/hyperlink" Target="http://www.algaebase.org"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hyperlink" Target="https://portal.apvma.gov.au/pubcris" TargetMode="External"/><Relationship Id="rId38" Type="http://schemas.openxmlformats.org/officeDocument/2006/relationships/hyperlink" Target="https://sitem.herts.ac.uk/aeru/ppdb/en/Reports/316.htm" TargetMode="External"/><Relationship Id="rId46" Type="http://schemas.openxmlformats.org/officeDocument/2006/relationships/header" Target="header6.xml"/><Relationship Id="rId20" Type="http://schemas.openxmlformats.org/officeDocument/2006/relationships/hyperlink" Target="mailto:copyright@dcceew.gov.au" TargetMode="External"/><Relationship Id="rId41" Type="http://schemas.openxmlformats.org/officeDocument/2006/relationships/hyperlink" Target="http://www.marinespecies.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e8238601-ce47-4778-85d0-8b1d656496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0150F-4729-4B4F-85C1-1347931E1F34}">
  <ds:schemaRefs>
    <ds:schemaRef ds:uri="http://schemas.openxmlformats.org/officeDocument/2006/bibliography"/>
  </ds:schemaRefs>
</ds:datastoreItem>
</file>

<file path=customXml/itemProps2.xml><?xml version="1.0" encoding="utf-8"?>
<ds:datastoreItem xmlns:ds="http://schemas.openxmlformats.org/officeDocument/2006/customXml" ds:itemID="{DF870F99-DBE2-4BC0-A861-60E563216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323EF-822C-4E4A-9DA5-304476EA7B2B}">
  <ds:schemaRefs>
    <ds:schemaRef ds:uri="d869c146-c82e-4435-92e4-da91542262fd"/>
    <ds:schemaRef ds:uri="d81c2681-db7b-4a56-9abd-a3238a78f6b2"/>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microsoft.com/sharepoint/v3"/>
    <ds:schemaRef ds:uri="http://purl.org/dc/terms/"/>
    <ds:schemaRef ds:uri="e8238601-ce47-4778-85d0-8b1d6564965a"/>
    <ds:schemaRef ds:uri="b98728ac-f998-415c-abee-6b046fb1441e"/>
    <ds:schemaRef ds:uri="http://www.w3.org/XML/1998/namespace"/>
  </ds:schemaRefs>
</ds:datastoreItem>
</file>

<file path=customXml/itemProps4.xml><?xml version="1.0" encoding="utf-8"?>
<ds:datastoreItem xmlns:ds="http://schemas.openxmlformats.org/officeDocument/2006/customXml" ds:itemID="{FDAFF9F2-B553-40B8-AE51-8E46304031DB}">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7</TotalTime>
  <Pages>26</Pages>
  <Words>7607</Words>
  <Characters>42212</Characters>
  <Application>Microsoft Office Word</Application>
  <DocSecurity>0</DocSecurity>
  <Lines>1458</Lines>
  <Paragraphs>859</Paragraphs>
  <ScaleCrop>false</ScaleCrop>
  <HeadingPairs>
    <vt:vector size="2" baseType="variant">
      <vt:variant>
        <vt:lpstr>Title</vt:lpstr>
      </vt:variant>
      <vt:variant>
        <vt:i4>1</vt:i4>
      </vt:variant>
    </vt:vector>
  </HeadingPairs>
  <TitlesOfParts>
    <vt:vector size="1" baseType="lpstr">
      <vt:lpstr>Fipronil in marine water, Toxicant default guideline values for protecting aquatic ecosystems, draft technical brief</vt:lpstr>
    </vt:vector>
  </TitlesOfParts>
  <Company>Department of Agriculture Fisheries &amp; Forestry</Company>
  <LinksUpToDate>false</LinksUpToDate>
  <CharactersWithSpaces>48985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Fipronil in marine water, Toxicant default guideline values for protecting aquatic ecosystems, draft technical brief</dc:title>
  <dc:subject/>
  <dc:creator>Lea, Amy</dc:creator>
  <cp:keywords/>
  <dc:description/>
  <cp:revision>25</cp:revision>
  <cp:lastPrinted>2025-10-20T23:15:00Z</cp:lastPrinted>
  <dcterms:created xsi:type="dcterms:W3CDTF">2025-08-12T01:42:00Z</dcterms:created>
  <dcterms:modified xsi:type="dcterms:W3CDTF">2025-10-27T04:13:00Z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eDOCS AutoSave">
    <vt:lpwstr>20201217084149193</vt:lpwstr>
  </property>
  <property fmtid="{D5CDD505-2E9C-101B-9397-08002B2CF9AE}" pid="4" name="MSIP_Label_0f488380-630a-4f55-a077-a19445e3f360_Enabled">
    <vt:lpwstr>true</vt:lpwstr>
  </property>
  <property fmtid="{D5CDD505-2E9C-101B-9397-08002B2CF9AE}" pid="5" name="MSIP_Label_0f488380-630a-4f55-a077-a19445e3f360_SetDate">
    <vt:lpwstr>2022-10-28T12:44:48Z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f4e9b152-00e9-467a-b3c8-1ea8d48ab36e</vt:lpwstr>
  </property>
  <property fmtid="{D5CDD505-2E9C-101B-9397-08002B2CF9AE}" pid="10" name="MSIP_Label_0f488380-630a-4f55-a077-a19445e3f360_ContentBits">
    <vt:lpwstr>0</vt:lpwstr>
  </property>
  <property fmtid="{D5CDD505-2E9C-101B-9397-08002B2CF9AE}" pid="11" name="Order">
    <vt:r8>923200</vt:r8>
  </property>
  <property fmtid="{D5CDD505-2E9C-101B-9397-08002B2CF9AE}" pid="12" name="ClassificationContentMarkingHeaderShapeIds">
    <vt:lpwstr>3ec3a78d,57e66cf5,346d6e8a,5e8ed6ff,159f316b,fa68902</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936a6ad,13f556f2,7b7ab259,1b233b06,1c814df0,4f1b051</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Record_x0020_Classification">
    <vt:lpwstr/>
  </property>
  <property fmtid="{D5CDD505-2E9C-101B-9397-08002B2CF9AE}" pid="19" name="MediaServiceImageTags">
    <vt:lpwstr/>
  </property>
  <property fmtid="{D5CDD505-2E9C-101B-9397-08002B2CF9AE}" pid="20" name="h64465b6520a47a58f1168c7a3f04764">
    <vt:lpwstr/>
  </property>
  <property fmtid="{D5CDD505-2E9C-101B-9397-08002B2CF9AE}" pid="21" name="Record Classification">
    <vt:lpwstr/>
  </property>
</Properties>
</file>