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73AD" w14:textId="77777777" w:rsidR="004040B5" w:rsidRDefault="00906333" w:rsidP="004040B5">
      <w:r>
        <w:rPr>
          <w:noProof/>
        </w:rPr>
        <w:drawing>
          <wp:anchor distT="0" distB="0" distL="114300" distR="114300" simplePos="0" relativeHeight="251658240" behindDoc="0" locked="0" layoutInCell="1" allowOverlap="1" wp14:anchorId="28357405" wp14:editId="1714F0DA">
            <wp:simplePos x="0" y="0"/>
            <wp:positionH relativeFrom="margin">
              <wp:align>left</wp:align>
            </wp:positionH>
            <wp:positionV relativeFrom="margin">
              <wp:posOffset>-314325</wp:posOffset>
            </wp:positionV>
            <wp:extent cx="2393950" cy="497205"/>
            <wp:effectExtent l="0" t="0" r="6350" b="0"/>
            <wp:wrapSquare wrapText="bothSides"/>
            <wp:docPr id="6" name="Picture 6"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31065"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93950" cy="497205"/>
                    </a:xfrm>
                    <a:prstGeom prst="rect">
                      <a:avLst/>
                    </a:prstGeom>
                    <a:ln>
                      <a:noFill/>
                    </a:ln>
                    <a:extLst>
                      <a:ext uri="{53640926-AAD7-44d8-BBD7-CCE9431645EC}">
                        <a14:shadowObscured xmlns="" xmlns:a14="http://schemas.microsoft.com/office/drawing/2010/main" xmlns:arto="http://schemas.microsoft.com/office/word/2006/arto" xmlns:lc="http://schemas.openxmlformats.org/drawingml/2006/lockedCanvas"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anchor>
        </w:drawing>
      </w:r>
    </w:p>
    <w:p w14:paraId="283573AE" w14:textId="77777777" w:rsidR="004040B5" w:rsidRPr="004040B5" w:rsidRDefault="004040B5" w:rsidP="004040B5"/>
    <w:p w14:paraId="283573B0" w14:textId="41B7214D" w:rsidR="004040B5" w:rsidRDefault="00906333" w:rsidP="004040B5">
      <w:pPr>
        <w:pStyle w:val="Heading1"/>
        <w:rPr>
          <w:rStyle w:val="Emphasis"/>
        </w:rPr>
      </w:pPr>
      <w:r>
        <w:t>Response to public submissions on draft default guideline values for</w:t>
      </w:r>
      <w:r w:rsidR="00B745B2">
        <w:t xml:space="preserve"> </w:t>
      </w:r>
      <w:r w:rsidR="0011189A">
        <w:t xml:space="preserve">copper in marine </w:t>
      </w:r>
      <w:r>
        <w:t xml:space="preserve">water </w:t>
      </w:r>
    </w:p>
    <w:p w14:paraId="283573B1" w14:textId="557F14C5" w:rsidR="004040B5" w:rsidRPr="004E6A7F" w:rsidRDefault="00542EE9" w:rsidP="004040B5">
      <w:pPr>
        <w:pStyle w:val="Subtitle"/>
        <w:rPr>
          <w:color w:val="auto"/>
        </w:rPr>
      </w:pPr>
      <w:r w:rsidRPr="00542EE9">
        <w:rPr>
          <w:color w:val="auto"/>
        </w:rPr>
        <w:t>September</w:t>
      </w:r>
      <w:r w:rsidR="0090741D" w:rsidRPr="00542EE9">
        <w:rPr>
          <w:color w:val="auto"/>
        </w:rPr>
        <w:t xml:space="preserve"> 202</w:t>
      </w:r>
      <w:r w:rsidR="00DF4B76" w:rsidRPr="00542EE9">
        <w:rPr>
          <w:color w:val="auto"/>
        </w:rPr>
        <w:t>5</w:t>
      </w:r>
    </w:p>
    <w:p w14:paraId="283573B2" w14:textId="77777777" w:rsidR="004040B5" w:rsidRDefault="004040B5" w:rsidP="004040B5"/>
    <w:p w14:paraId="283573B3" w14:textId="2CD44295" w:rsidR="00A60014" w:rsidRPr="00A60014" w:rsidRDefault="00906333" w:rsidP="00A60014">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 xml:space="preserve">Draft default guideline values (DGVs) for </w:t>
      </w:r>
      <w:r w:rsidR="0011189A">
        <w:rPr>
          <w:rFonts w:asciiTheme="minorHAnsi" w:hAnsiTheme="minorHAnsi" w:cstheme="minorHAnsi"/>
          <w:sz w:val="22"/>
          <w:szCs w:val="22"/>
        </w:rPr>
        <w:t>copper in marine water</w:t>
      </w:r>
      <w:r w:rsidRPr="004E6A7F">
        <w:rPr>
          <w:rFonts w:asciiTheme="minorHAnsi" w:hAnsiTheme="minorHAnsi" w:cstheme="minorHAnsi"/>
          <w:sz w:val="22"/>
          <w:szCs w:val="22"/>
        </w:rPr>
        <w:t xml:space="preserve"> </w:t>
      </w:r>
      <w:r w:rsidRPr="00A60014">
        <w:rPr>
          <w:rFonts w:asciiTheme="minorHAnsi" w:hAnsiTheme="minorHAnsi" w:cstheme="minorHAnsi"/>
          <w:sz w:val="22"/>
          <w:szCs w:val="22"/>
        </w:rPr>
        <w:t>were published on the Water Quality Guidelines website for a</w:t>
      </w:r>
      <w:r w:rsidRPr="004E6A7F">
        <w:rPr>
          <w:rFonts w:asciiTheme="minorHAnsi" w:hAnsiTheme="minorHAnsi" w:cstheme="minorHAnsi"/>
          <w:sz w:val="22"/>
          <w:szCs w:val="22"/>
        </w:rPr>
        <w:t xml:space="preserve"> </w:t>
      </w:r>
      <w:r w:rsidR="004E6A7F" w:rsidRPr="004E6A7F">
        <w:rPr>
          <w:rFonts w:asciiTheme="minorHAnsi" w:hAnsiTheme="minorHAnsi" w:cstheme="minorHAnsi"/>
          <w:sz w:val="22"/>
          <w:szCs w:val="22"/>
        </w:rPr>
        <w:t>3</w:t>
      </w:r>
      <w:r w:rsidRPr="004E6A7F">
        <w:rPr>
          <w:rFonts w:asciiTheme="minorHAnsi" w:hAnsiTheme="minorHAnsi" w:cstheme="minorHAnsi"/>
          <w:sz w:val="22"/>
          <w:szCs w:val="22"/>
        </w:rPr>
        <w:t xml:space="preserve">-month </w:t>
      </w:r>
      <w:r w:rsidRPr="00A60014">
        <w:rPr>
          <w:rFonts w:asciiTheme="minorHAnsi" w:hAnsiTheme="minorHAnsi" w:cstheme="minorHAnsi"/>
          <w:sz w:val="22"/>
          <w:szCs w:val="22"/>
        </w:rPr>
        <w:t xml:space="preserve">public consultation period. During this period, comments for the draft DGVs for </w:t>
      </w:r>
      <w:r w:rsidR="0011189A">
        <w:rPr>
          <w:rFonts w:asciiTheme="minorHAnsi" w:hAnsiTheme="minorHAnsi" w:cstheme="minorHAnsi"/>
          <w:sz w:val="22"/>
          <w:szCs w:val="22"/>
        </w:rPr>
        <w:t>copper in marine water</w:t>
      </w:r>
      <w:r w:rsidR="0011189A" w:rsidRPr="004E6A7F">
        <w:rPr>
          <w:rFonts w:asciiTheme="minorHAnsi" w:hAnsiTheme="minorHAnsi" w:cstheme="minorHAnsi"/>
          <w:sz w:val="22"/>
          <w:szCs w:val="22"/>
        </w:rPr>
        <w:t xml:space="preserve"> </w:t>
      </w:r>
      <w:r w:rsidRPr="00A60014">
        <w:rPr>
          <w:rFonts w:asciiTheme="minorHAnsi" w:hAnsiTheme="minorHAnsi" w:cstheme="minorHAnsi"/>
          <w:sz w:val="22"/>
          <w:szCs w:val="22"/>
        </w:rPr>
        <w:t>were received via public submission.</w:t>
      </w:r>
    </w:p>
    <w:p w14:paraId="283573B4" w14:textId="77777777" w:rsidR="00A60014" w:rsidRPr="00A60014" w:rsidRDefault="00906333" w:rsidP="00A60014">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 xml:space="preserve">Responses to comments and any associated edits to the draft DGV technical brief are outlined in this report, de-identified for public record. The responses and revisions have been approved by the original peer </w:t>
      </w:r>
      <w:r w:rsidRPr="00524363">
        <w:rPr>
          <w:rFonts w:asciiTheme="minorHAnsi" w:hAnsiTheme="minorHAnsi" w:cstheme="minorHAnsi"/>
          <w:sz w:val="22"/>
          <w:szCs w:val="22"/>
        </w:rPr>
        <w:t>reviewers</w:t>
      </w:r>
      <w:r w:rsidR="00524363" w:rsidRPr="00CD2FA9">
        <w:rPr>
          <w:rStyle w:val="CommentReference"/>
          <w:rFonts w:ascii="Calibri" w:eastAsia="Calibri" w:hAnsi="Calibri"/>
          <w:sz w:val="22"/>
          <w:szCs w:val="22"/>
          <w:lang w:eastAsia="en-US"/>
        </w:rPr>
        <w:t xml:space="preserve"> and</w:t>
      </w:r>
      <w:r w:rsidR="00524363">
        <w:rPr>
          <w:rStyle w:val="CommentReference"/>
          <w:rFonts w:ascii="Calibri" w:eastAsia="Calibri" w:hAnsi="Calibri"/>
          <w:lang w:eastAsia="en-US"/>
        </w:rPr>
        <w:t xml:space="preserve"> </w:t>
      </w:r>
      <w:r w:rsidRPr="00A60014">
        <w:rPr>
          <w:rFonts w:asciiTheme="minorHAnsi" w:hAnsiTheme="minorHAnsi" w:cstheme="minorHAnsi"/>
          <w:sz w:val="22"/>
          <w:szCs w:val="22"/>
        </w:rPr>
        <w:t xml:space="preserve">the jurisdictional technical and policy oversight </w:t>
      </w:r>
      <w:r w:rsidR="00E277EE" w:rsidRPr="00A60014">
        <w:rPr>
          <w:rFonts w:asciiTheme="minorHAnsi" w:hAnsiTheme="minorHAnsi" w:cstheme="minorHAnsi"/>
          <w:sz w:val="22"/>
          <w:szCs w:val="22"/>
        </w:rPr>
        <w:t>group</w:t>
      </w:r>
      <w:r w:rsidR="00E277EE" w:rsidRPr="00D354D0">
        <w:rPr>
          <w:rFonts w:asciiTheme="minorHAnsi" w:hAnsiTheme="minorHAnsi" w:cstheme="minorHAnsi"/>
          <w:sz w:val="22"/>
          <w:szCs w:val="22"/>
        </w:rPr>
        <w:t>s</w:t>
      </w:r>
      <w:r w:rsidR="00524363" w:rsidRPr="00D354D0">
        <w:rPr>
          <w:rFonts w:asciiTheme="minorHAnsi" w:hAnsiTheme="minorHAnsi" w:cstheme="minorHAnsi"/>
          <w:sz w:val="22"/>
          <w:szCs w:val="22"/>
        </w:rPr>
        <w:t>,</w:t>
      </w:r>
      <w:r w:rsidR="00E277EE" w:rsidRPr="00D354D0">
        <w:rPr>
          <w:rFonts w:asciiTheme="minorHAnsi" w:hAnsiTheme="minorHAnsi" w:cstheme="minorHAnsi"/>
          <w:sz w:val="22"/>
          <w:szCs w:val="22"/>
        </w:rPr>
        <w:t xml:space="preserve"> and</w:t>
      </w:r>
      <w:r w:rsidRPr="00D354D0">
        <w:rPr>
          <w:rFonts w:asciiTheme="minorHAnsi" w:hAnsiTheme="minorHAnsi" w:cstheme="minorHAnsi"/>
          <w:sz w:val="22"/>
          <w:szCs w:val="22"/>
        </w:rPr>
        <w:t xml:space="preserve"> noted by the National Water Reform Committee. </w:t>
      </w:r>
    </w:p>
    <w:p w14:paraId="283573B5" w14:textId="12221EC4" w:rsidR="00B55FF2" w:rsidRDefault="00906333" w:rsidP="00B55FF2">
      <w:r>
        <w:t xml:space="preserve">The default guideline values for </w:t>
      </w:r>
      <w:r w:rsidR="0011189A">
        <w:rPr>
          <w:rFonts w:asciiTheme="minorHAnsi" w:hAnsiTheme="minorHAnsi" w:cstheme="minorHAnsi"/>
        </w:rPr>
        <w:t>copper in marine water</w:t>
      </w:r>
      <w:r w:rsidR="004E6A7F" w:rsidRPr="004E6A7F">
        <w:rPr>
          <w:rFonts w:asciiTheme="minorHAnsi" w:hAnsiTheme="minorHAnsi" w:cstheme="minorHAnsi"/>
        </w:rPr>
        <w:t xml:space="preserve"> </w:t>
      </w:r>
      <w:r>
        <w:t xml:space="preserve">are now published as final. For additional information on the publication process, please refer to the </w:t>
      </w:r>
      <w:hyperlink r:id="rId12" w:history="1">
        <w:r w:rsidRPr="004040B5">
          <w:rPr>
            <w:rStyle w:val="Hyperlink"/>
          </w:rPr>
          <w:t>pathway for toxicant default guideline value publication</w:t>
        </w:r>
      </w:hyperlink>
      <w:r>
        <w:t>.</w:t>
      </w:r>
    </w:p>
    <w:p w14:paraId="283573B6" w14:textId="77777777" w:rsidR="00B55FF2" w:rsidRPr="00A60014" w:rsidRDefault="00906333" w:rsidP="00B55FF2">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The Water Quality Guidelines Improvement Program thanks all submissions for their valuable contribution to the development of default guideline values for the protection of aquatic ecosystems.</w:t>
      </w:r>
    </w:p>
    <w:p w14:paraId="283573B7" w14:textId="77777777" w:rsidR="00A60014" w:rsidRDefault="00A60014" w:rsidP="004040B5"/>
    <w:p w14:paraId="283573B8" w14:textId="77777777" w:rsidR="00B2382D" w:rsidRDefault="00B2382D" w:rsidP="004040B5"/>
    <w:p w14:paraId="283573B9" w14:textId="77777777" w:rsidR="00B2382D" w:rsidRDefault="00B2382D" w:rsidP="004040B5"/>
    <w:p w14:paraId="283573BA" w14:textId="77777777" w:rsidR="00B2382D" w:rsidRDefault="00B2382D" w:rsidP="004040B5"/>
    <w:p w14:paraId="283573BB" w14:textId="77777777" w:rsidR="00F4111F" w:rsidRDefault="00F4111F" w:rsidP="00B745B2">
      <w:pPr>
        <w:tabs>
          <w:tab w:val="left" w:pos="7520"/>
        </w:tabs>
      </w:pPr>
    </w:p>
    <w:p w14:paraId="283573BC" w14:textId="77777777" w:rsidR="00F4111F" w:rsidRDefault="00F4111F" w:rsidP="00B745B2">
      <w:pPr>
        <w:tabs>
          <w:tab w:val="left" w:pos="7520"/>
        </w:tabs>
      </w:pPr>
    </w:p>
    <w:p w14:paraId="283573BD" w14:textId="77777777" w:rsidR="00F4111F" w:rsidRDefault="00F4111F" w:rsidP="00B745B2">
      <w:pPr>
        <w:tabs>
          <w:tab w:val="left" w:pos="7520"/>
        </w:tabs>
      </w:pPr>
    </w:p>
    <w:p w14:paraId="283573BE" w14:textId="77777777" w:rsidR="00F4111F" w:rsidRDefault="00F4111F" w:rsidP="00B745B2">
      <w:pPr>
        <w:tabs>
          <w:tab w:val="left" w:pos="7520"/>
        </w:tabs>
      </w:pPr>
    </w:p>
    <w:p w14:paraId="283573BF" w14:textId="77777777" w:rsidR="00F4111F" w:rsidRDefault="00F4111F" w:rsidP="00B745B2">
      <w:pPr>
        <w:tabs>
          <w:tab w:val="left" w:pos="7520"/>
        </w:tabs>
      </w:pPr>
    </w:p>
    <w:p w14:paraId="283573C0" w14:textId="77777777" w:rsidR="00F4111F" w:rsidRDefault="00F4111F" w:rsidP="00B745B2">
      <w:pPr>
        <w:tabs>
          <w:tab w:val="left" w:pos="7520"/>
        </w:tabs>
      </w:pPr>
    </w:p>
    <w:p w14:paraId="283573C1" w14:textId="77777777" w:rsidR="00B2382D" w:rsidRDefault="00B2382D" w:rsidP="00B745B2">
      <w:pPr>
        <w:tabs>
          <w:tab w:val="left" w:pos="7520"/>
        </w:tabs>
        <w:sectPr w:rsidR="00B2382D" w:rsidSect="00172CC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p>
    <w:p w14:paraId="283573C2" w14:textId="77777777" w:rsidR="004A7EDD" w:rsidRPr="004A7EDD" w:rsidRDefault="00906333" w:rsidP="004A7EDD">
      <w:pPr>
        <w:keepNext/>
        <w:keepLines/>
        <w:spacing w:before="240" w:line="240" w:lineRule="auto"/>
        <w:outlineLvl w:val="0"/>
        <w:rPr>
          <w:rFonts w:ascii="Calibri Light" w:eastAsia="Times New Roman" w:hAnsi="Calibri Light"/>
          <w:color w:val="2F5496" w:themeColor="accent1" w:themeShade="BF"/>
          <w:sz w:val="32"/>
          <w:szCs w:val="32"/>
        </w:rPr>
      </w:pPr>
      <w:r w:rsidRPr="004A7EDD">
        <w:rPr>
          <w:rFonts w:ascii="Calibri Light" w:eastAsia="Times New Roman" w:hAnsi="Calibri Light"/>
          <w:color w:val="2F5496" w:themeColor="accent1" w:themeShade="BF"/>
          <w:sz w:val="32"/>
          <w:szCs w:val="32"/>
        </w:rPr>
        <w:lastRenderedPageBreak/>
        <w:t>Response to public submissions on draft default guideline values</w:t>
      </w:r>
    </w:p>
    <w:p w14:paraId="283573C4" w14:textId="2FB457D4" w:rsidR="004A7EDD" w:rsidRPr="004A7EDD" w:rsidRDefault="00906333" w:rsidP="004A7EDD">
      <w:pPr>
        <w:spacing w:before="0" w:line="280" w:lineRule="atLeast"/>
        <w:rPr>
          <w:b/>
          <w:bCs/>
          <w:sz w:val="24"/>
          <w:szCs w:val="24"/>
        </w:rPr>
      </w:pPr>
      <w:r w:rsidRPr="004A7EDD">
        <w:rPr>
          <w:b/>
          <w:bCs/>
          <w:sz w:val="24"/>
          <w:szCs w:val="24"/>
        </w:rPr>
        <w:t xml:space="preserve">Toxicant: </w:t>
      </w:r>
      <w:r w:rsidR="00DA5C37">
        <w:rPr>
          <w:b/>
          <w:bCs/>
          <w:sz w:val="24"/>
          <w:szCs w:val="24"/>
        </w:rPr>
        <w:t xml:space="preserve">Copper in marine </w:t>
      </w:r>
      <w:r w:rsidRPr="004A7EDD">
        <w:rPr>
          <w:b/>
          <w:bCs/>
          <w:sz w:val="24"/>
          <w:szCs w:val="24"/>
        </w:rPr>
        <w:t>water</w:t>
      </w:r>
    </w:p>
    <w:tbl>
      <w:tblPr>
        <w:tblStyle w:val="TableGrid1"/>
        <w:tblW w:w="0" w:type="auto"/>
        <w:tblLook w:val="04A0" w:firstRow="1" w:lastRow="0" w:firstColumn="1" w:lastColumn="0" w:noHBand="0" w:noVBand="1"/>
        <w:tblCaption w:val="DGVs for copper in marine water "/>
        <w:tblDescription w:val="The DGVs calculated for all different options are compared in the table below. There is minimal difference between the values, particularly for the 95% level of protection.  Based on the lack of difference between options 1 and 2, the assumptions required to normalise toxicity data based on a DOC power model, the original method was retained. "/>
      </w:tblPr>
      <w:tblGrid>
        <w:gridCol w:w="4673"/>
        <w:gridCol w:w="6079"/>
        <w:gridCol w:w="3118"/>
      </w:tblGrid>
      <w:tr w:rsidR="00D66671" w14:paraId="283573C8" w14:textId="77777777" w:rsidTr="004A7EDD">
        <w:trPr>
          <w:tblHeader/>
        </w:trPr>
        <w:tc>
          <w:tcPr>
            <w:tcW w:w="4673" w:type="dxa"/>
            <w:tcBorders>
              <w:top w:val="single" w:sz="4" w:space="0" w:color="auto"/>
              <w:left w:val="single" w:sz="4" w:space="0" w:color="auto"/>
              <w:bottom w:val="single" w:sz="4" w:space="0" w:color="auto"/>
              <w:right w:val="single" w:sz="4" w:space="0" w:color="auto"/>
            </w:tcBorders>
            <w:hideMark/>
          </w:tcPr>
          <w:p w14:paraId="283573C5" w14:textId="77777777" w:rsidR="004A7EDD" w:rsidRPr="004A7EDD" w:rsidRDefault="00906333" w:rsidP="004A7EDD">
            <w:pPr>
              <w:spacing w:before="60" w:after="60" w:line="280" w:lineRule="atLeast"/>
              <w:rPr>
                <w:b/>
                <w:bCs/>
                <w:sz w:val="20"/>
                <w:szCs w:val="20"/>
              </w:rPr>
            </w:pPr>
            <w:r w:rsidRPr="004A7EDD">
              <w:rPr>
                <w:b/>
                <w:bCs/>
                <w:sz w:val="20"/>
                <w:szCs w:val="20"/>
              </w:rPr>
              <w:t>Comment</w:t>
            </w:r>
          </w:p>
        </w:tc>
        <w:tc>
          <w:tcPr>
            <w:tcW w:w="5954" w:type="dxa"/>
            <w:tcBorders>
              <w:top w:val="single" w:sz="4" w:space="0" w:color="auto"/>
              <w:left w:val="single" w:sz="4" w:space="0" w:color="auto"/>
              <w:bottom w:val="single" w:sz="4" w:space="0" w:color="auto"/>
              <w:right w:val="single" w:sz="4" w:space="0" w:color="auto"/>
            </w:tcBorders>
            <w:hideMark/>
          </w:tcPr>
          <w:p w14:paraId="283573C6" w14:textId="77777777" w:rsidR="004A7EDD" w:rsidRPr="004A7EDD" w:rsidRDefault="00906333" w:rsidP="004A7EDD">
            <w:pPr>
              <w:spacing w:before="60" w:after="60" w:line="280" w:lineRule="atLeast"/>
              <w:rPr>
                <w:b/>
                <w:bCs/>
                <w:sz w:val="20"/>
                <w:szCs w:val="20"/>
              </w:rPr>
            </w:pPr>
            <w:r w:rsidRPr="004A7EDD">
              <w:rPr>
                <w:b/>
                <w:bCs/>
                <w:sz w:val="20"/>
                <w:szCs w:val="20"/>
              </w:rPr>
              <w:t>Response</w:t>
            </w:r>
          </w:p>
        </w:tc>
        <w:tc>
          <w:tcPr>
            <w:tcW w:w="3118" w:type="dxa"/>
            <w:tcBorders>
              <w:top w:val="single" w:sz="4" w:space="0" w:color="auto"/>
              <w:left w:val="single" w:sz="4" w:space="0" w:color="auto"/>
              <w:bottom w:val="single" w:sz="4" w:space="0" w:color="auto"/>
              <w:right w:val="single" w:sz="4" w:space="0" w:color="auto"/>
            </w:tcBorders>
            <w:hideMark/>
          </w:tcPr>
          <w:p w14:paraId="283573C7" w14:textId="77777777" w:rsidR="004A7EDD" w:rsidRPr="004A7EDD" w:rsidRDefault="00906333" w:rsidP="004A7EDD">
            <w:pPr>
              <w:spacing w:before="60" w:after="60" w:line="280" w:lineRule="atLeast"/>
              <w:rPr>
                <w:b/>
                <w:bCs/>
                <w:sz w:val="20"/>
                <w:szCs w:val="20"/>
              </w:rPr>
            </w:pPr>
            <w:r w:rsidRPr="004A7EDD">
              <w:rPr>
                <w:b/>
                <w:bCs/>
                <w:sz w:val="20"/>
                <w:szCs w:val="20"/>
              </w:rPr>
              <w:t>Action taken</w:t>
            </w:r>
          </w:p>
        </w:tc>
      </w:tr>
      <w:tr w:rsidR="00290B49" w14:paraId="2E758E03" w14:textId="77777777" w:rsidTr="00AC0386">
        <w:tc>
          <w:tcPr>
            <w:tcW w:w="13745" w:type="dxa"/>
            <w:gridSpan w:val="3"/>
            <w:tcBorders>
              <w:top w:val="single" w:sz="4" w:space="0" w:color="auto"/>
              <w:left w:val="single" w:sz="4" w:space="0" w:color="auto"/>
              <w:bottom w:val="single" w:sz="4" w:space="0" w:color="auto"/>
              <w:right w:val="single" w:sz="4" w:space="0" w:color="auto"/>
            </w:tcBorders>
          </w:tcPr>
          <w:p w14:paraId="753C898B" w14:textId="5A054FAF" w:rsidR="00290B49" w:rsidRPr="004A7EDD" w:rsidRDefault="00290B49" w:rsidP="0028006E">
            <w:pPr>
              <w:spacing w:before="60" w:after="60" w:line="280" w:lineRule="atLeast"/>
              <w:rPr>
                <w:sz w:val="18"/>
                <w:szCs w:val="18"/>
              </w:rPr>
            </w:pPr>
            <w:r>
              <w:rPr>
                <w:b/>
                <w:sz w:val="18"/>
                <w:szCs w:val="18"/>
              </w:rPr>
              <w:t>Submission</w:t>
            </w:r>
            <w:r w:rsidRPr="006B7B8A">
              <w:rPr>
                <w:b/>
                <w:sz w:val="18"/>
                <w:szCs w:val="18"/>
              </w:rPr>
              <w:t xml:space="preserve"> </w:t>
            </w:r>
            <w:r>
              <w:rPr>
                <w:b/>
                <w:sz w:val="18"/>
                <w:szCs w:val="18"/>
              </w:rPr>
              <w:t xml:space="preserve">A </w:t>
            </w:r>
            <w:r w:rsidRPr="00022CF2">
              <w:rPr>
                <w:b/>
                <w:sz w:val="16"/>
                <w:szCs w:val="16"/>
              </w:rPr>
              <w:t>(</w:t>
            </w:r>
            <w:r w:rsidR="00022CF2" w:rsidRPr="00022CF2">
              <w:rPr>
                <w:b/>
                <w:sz w:val="16"/>
                <w:szCs w:val="16"/>
              </w:rPr>
              <w:t xml:space="preserve">Points below represent a summary </w:t>
            </w:r>
            <w:r w:rsidR="000C46FD">
              <w:rPr>
                <w:b/>
                <w:sz w:val="16"/>
                <w:szCs w:val="16"/>
              </w:rPr>
              <w:t>of the comments)</w:t>
            </w:r>
            <w:r w:rsidR="00022CF2" w:rsidRPr="00022CF2">
              <w:rPr>
                <w:b/>
                <w:sz w:val="16"/>
                <w:szCs w:val="16"/>
              </w:rPr>
              <w:t xml:space="preserve">. </w:t>
            </w:r>
          </w:p>
        </w:tc>
      </w:tr>
      <w:tr w:rsidR="0028006E" w14:paraId="053BCCE9" w14:textId="77777777" w:rsidTr="004A7EDD">
        <w:tc>
          <w:tcPr>
            <w:tcW w:w="4673" w:type="dxa"/>
            <w:tcBorders>
              <w:top w:val="single" w:sz="4" w:space="0" w:color="auto"/>
              <w:left w:val="single" w:sz="4" w:space="0" w:color="auto"/>
              <w:bottom w:val="single" w:sz="4" w:space="0" w:color="auto"/>
              <w:right w:val="single" w:sz="4" w:space="0" w:color="auto"/>
            </w:tcBorders>
          </w:tcPr>
          <w:p w14:paraId="51893670" w14:textId="2B079BCA" w:rsidR="0028006E" w:rsidRPr="00D62FEF" w:rsidRDefault="00290B49" w:rsidP="00D62FEF">
            <w:pPr>
              <w:pStyle w:val="ListParagraph"/>
              <w:numPr>
                <w:ilvl w:val="0"/>
                <w:numId w:val="22"/>
              </w:numPr>
              <w:spacing w:before="60" w:after="60"/>
              <w:rPr>
                <w:bCs/>
                <w:sz w:val="18"/>
                <w:szCs w:val="18"/>
              </w:rPr>
            </w:pPr>
            <w:r w:rsidRPr="00D62FEF">
              <w:rPr>
                <w:bCs/>
                <w:sz w:val="18"/>
                <w:szCs w:val="18"/>
              </w:rPr>
              <w:t>A dominance of algae within the dataset, which are as a taxonomic group known to be particularly copper sensitive.</w:t>
            </w:r>
          </w:p>
        </w:tc>
        <w:tc>
          <w:tcPr>
            <w:tcW w:w="5954" w:type="dxa"/>
            <w:tcBorders>
              <w:top w:val="single" w:sz="4" w:space="0" w:color="auto"/>
              <w:left w:val="single" w:sz="4" w:space="0" w:color="auto"/>
              <w:bottom w:val="single" w:sz="4" w:space="0" w:color="auto"/>
              <w:right w:val="single" w:sz="4" w:space="0" w:color="auto"/>
            </w:tcBorders>
          </w:tcPr>
          <w:p w14:paraId="2620ECE2" w14:textId="5319A1E0" w:rsidR="0028006E" w:rsidRDefault="00A775B3" w:rsidP="0028006E">
            <w:pPr>
              <w:spacing w:before="60" w:after="60" w:line="240" w:lineRule="auto"/>
              <w:rPr>
                <w:iCs/>
                <w:sz w:val="18"/>
                <w:szCs w:val="18"/>
              </w:rPr>
            </w:pPr>
            <w:r>
              <w:rPr>
                <w:iCs/>
                <w:sz w:val="18"/>
                <w:szCs w:val="18"/>
              </w:rPr>
              <w:t>Thirteen</w:t>
            </w:r>
            <w:r w:rsidR="006C4864">
              <w:rPr>
                <w:iCs/>
                <w:sz w:val="18"/>
                <w:szCs w:val="18"/>
              </w:rPr>
              <w:t xml:space="preserve"> additional species have been added to the dataset used for the DGV derivation, based on the public submission</w:t>
            </w:r>
            <w:r>
              <w:rPr>
                <w:iCs/>
                <w:sz w:val="18"/>
                <w:szCs w:val="18"/>
              </w:rPr>
              <w:t>s and associated approvals process</w:t>
            </w:r>
            <w:r w:rsidR="00017733">
              <w:rPr>
                <w:iCs/>
                <w:sz w:val="18"/>
                <w:szCs w:val="18"/>
              </w:rPr>
              <w:t xml:space="preserve">, all of which are </w:t>
            </w:r>
            <w:r w:rsidR="00017733" w:rsidRPr="00017733">
              <w:rPr>
                <w:i/>
                <w:sz w:val="18"/>
                <w:szCs w:val="18"/>
              </w:rPr>
              <w:t>Animalia</w:t>
            </w:r>
            <w:r w:rsidR="00017733">
              <w:rPr>
                <w:iCs/>
                <w:sz w:val="18"/>
                <w:szCs w:val="18"/>
              </w:rPr>
              <w:t>. This means the</w:t>
            </w:r>
            <w:r w:rsidR="00A3640A">
              <w:rPr>
                <w:iCs/>
                <w:sz w:val="18"/>
                <w:szCs w:val="18"/>
              </w:rPr>
              <w:t xml:space="preserve">re are now </w:t>
            </w:r>
            <w:r w:rsidR="00841448">
              <w:rPr>
                <w:iCs/>
                <w:sz w:val="18"/>
                <w:szCs w:val="18"/>
              </w:rPr>
              <w:t>16</w:t>
            </w:r>
            <w:r w:rsidR="00A3640A">
              <w:rPr>
                <w:iCs/>
                <w:sz w:val="18"/>
                <w:szCs w:val="18"/>
              </w:rPr>
              <w:t xml:space="preserve"> algae (including macroalgae)</w:t>
            </w:r>
            <w:r w:rsidR="001A36A5">
              <w:rPr>
                <w:iCs/>
                <w:sz w:val="18"/>
                <w:szCs w:val="18"/>
              </w:rPr>
              <w:t xml:space="preserve">, </w:t>
            </w:r>
            <w:r>
              <w:rPr>
                <w:iCs/>
                <w:sz w:val="18"/>
                <w:szCs w:val="18"/>
              </w:rPr>
              <w:t>27</w:t>
            </w:r>
            <w:r w:rsidR="00A3640A">
              <w:rPr>
                <w:iCs/>
                <w:sz w:val="18"/>
                <w:szCs w:val="18"/>
              </w:rPr>
              <w:t xml:space="preserve"> invertebrates and two fish</w:t>
            </w:r>
            <w:r>
              <w:rPr>
                <w:iCs/>
                <w:sz w:val="18"/>
                <w:szCs w:val="18"/>
              </w:rPr>
              <w:t>, with the algae comprising 36% of the dataset</w:t>
            </w:r>
            <w:r w:rsidR="00A3640A">
              <w:rPr>
                <w:iCs/>
                <w:sz w:val="18"/>
                <w:szCs w:val="18"/>
              </w:rPr>
              <w:t>.</w:t>
            </w:r>
            <w:r w:rsidR="006C4864">
              <w:rPr>
                <w:iCs/>
                <w:sz w:val="18"/>
                <w:szCs w:val="18"/>
              </w:rPr>
              <w:t xml:space="preserve"> </w:t>
            </w:r>
            <w:r w:rsidR="001A36A5">
              <w:rPr>
                <w:iCs/>
                <w:sz w:val="18"/>
                <w:szCs w:val="18"/>
              </w:rPr>
              <w:t xml:space="preserve">There is a clear </w:t>
            </w:r>
            <w:r w:rsidR="004A4352">
              <w:rPr>
                <w:iCs/>
                <w:sz w:val="18"/>
                <w:szCs w:val="18"/>
              </w:rPr>
              <w:t>paucity</w:t>
            </w:r>
            <w:r w:rsidR="001A36A5">
              <w:rPr>
                <w:iCs/>
                <w:sz w:val="18"/>
                <w:szCs w:val="18"/>
              </w:rPr>
              <w:t xml:space="preserve"> of data for fish.</w:t>
            </w:r>
          </w:p>
          <w:p w14:paraId="4E23A941" w14:textId="63B6538B" w:rsidR="001E3218" w:rsidRDefault="001E3218" w:rsidP="001F62F1">
            <w:pPr>
              <w:spacing w:before="60" w:after="60" w:line="240" w:lineRule="auto"/>
              <w:rPr>
                <w:iCs/>
                <w:sz w:val="18"/>
                <w:szCs w:val="18"/>
              </w:rPr>
            </w:pPr>
            <w:r>
              <w:rPr>
                <w:iCs/>
                <w:sz w:val="18"/>
                <w:szCs w:val="18"/>
              </w:rPr>
              <w:t xml:space="preserve">Algae do dominate the toxicity dataset when compared to some estimates of diversity of organisms in the marine environment (e.g., in the NZ EEZ there are an estimated 2,900 described cyanobacteria, plant, protozoa and </w:t>
            </w:r>
            <w:proofErr w:type="spellStart"/>
            <w:r>
              <w:rPr>
                <w:iCs/>
                <w:sz w:val="18"/>
                <w:szCs w:val="18"/>
              </w:rPr>
              <w:t>chromista</w:t>
            </w:r>
            <w:proofErr w:type="spellEnd"/>
            <w:r>
              <w:rPr>
                <w:iCs/>
                <w:sz w:val="18"/>
                <w:szCs w:val="18"/>
              </w:rPr>
              <w:t xml:space="preserve"> species compared with 9,863 described animal species (Gordon et al. 2010)), even when undescribed species are included. </w:t>
            </w:r>
          </w:p>
          <w:p w14:paraId="6C339188" w14:textId="1B1F30ED" w:rsidR="001E3218" w:rsidRDefault="00267527" w:rsidP="001E3218">
            <w:pPr>
              <w:spacing w:before="60" w:after="60" w:line="240" w:lineRule="auto"/>
              <w:rPr>
                <w:iCs/>
                <w:sz w:val="18"/>
                <w:szCs w:val="18"/>
              </w:rPr>
            </w:pPr>
            <w:r>
              <w:rPr>
                <w:iCs/>
                <w:sz w:val="18"/>
                <w:szCs w:val="18"/>
              </w:rPr>
              <w:t xml:space="preserve">On the other hand, algae, as primary producers, are at the </w:t>
            </w:r>
            <w:r w:rsidR="00491BDD">
              <w:rPr>
                <w:iCs/>
                <w:sz w:val="18"/>
                <w:szCs w:val="18"/>
              </w:rPr>
              <w:t>base</w:t>
            </w:r>
            <w:r>
              <w:rPr>
                <w:iCs/>
                <w:sz w:val="18"/>
                <w:szCs w:val="18"/>
              </w:rPr>
              <w:t xml:space="preserve"> of the food chain</w:t>
            </w:r>
            <w:r w:rsidR="003D0E03">
              <w:rPr>
                <w:iCs/>
                <w:sz w:val="18"/>
                <w:szCs w:val="18"/>
              </w:rPr>
              <w:t xml:space="preserve"> including in rocky reefs (see Truong et al. 2017)</w:t>
            </w:r>
            <w:r w:rsidR="00491BDD">
              <w:rPr>
                <w:iCs/>
                <w:sz w:val="18"/>
                <w:szCs w:val="18"/>
              </w:rPr>
              <w:t xml:space="preserve"> and </w:t>
            </w:r>
            <w:r w:rsidR="007B0B6A">
              <w:rPr>
                <w:iCs/>
                <w:sz w:val="18"/>
                <w:szCs w:val="18"/>
              </w:rPr>
              <w:t xml:space="preserve">are responsible for </w:t>
            </w:r>
            <w:r w:rsidR="009040C0">
              <w:rPr>
                <w:iCs/>
                <w:sz w:val="18"/>
                <w:szCs w:val="18"/>
              </w:rPr>
              <w:t xml:space="preserve">the </w:t>
            </w:r>
            <w:r w:rsidR="007B0B6A">
              <w:rPr>
                <w:iCs/>
                <w:sz w:val="18"/>
                <w:szCs w:val="18"/>
              </w:rPr>
              <w:t xml:space="preserve">transfer of energy to </w:t>
            </w:r>
            <w:r w:rsidR="009040C0">
              <w:rPr>
                <w:iCs/>
                <w:sz w:val="18"/>
                <w:szCs w:val="18"/>
              </w:rPr>
              <w:t xml:space="preserve">all of the </w:t>
            </w:r>
            <w:r w:rsidR="007B0B6A">
              <w:rPr>
                <w:iCs/>
                <w:sz w:val="18"/>
                <w:szCs w:val="18"/>
              </w:rPr>
              <w:t>higher trophic level</w:t>
            </w:r>
            <w:r w:rsidR="009040C0">
              <w:rPr>
                <w:iCs/>
                <w:sz w:val="18"/>
                <w:szCs w:val="18"/>
              </w:rPr>
              <w:t>s</w:t>
            </w:r>
            <w:r w:rsidR="007B0B6A">
              <w:rPr>
                <w:iCs/>
                <w:sz w:val="18"/>
                <w:szCs w:val="18"/>
              </w:rPr>
              <w:t xml:space="preserve">. </w:t>
            </w:r>
            <w:r w:rsidR="001E3218">
              <w:rPr>
                <w:iCs/>
                <w:sz w:val="18"/>
                <w:szCs w:val="18"/>
              </w:rPr>
              <w:t xml:space="preserve">Ecological theory and food web studies show that species diversity is highest at low trophic levels (i.e., primary producers such as algae) and decreases at higher trophic levels </w:t>
            </w:r>
            <w:r w:rsidR="000C46FD">
              <w:rPr>
                <w:iCs/>
                <w:sz w:val="18"/>
                <w:szCs w:val="18"/>
              </w:rPr>
              <w:t>(</w:t>
            </w:r>
            <w:r w:rsidR="001E3218">
              <w:rPr>
                <w:iCs/>
                <w:sz w:val="18"/>
                <w:szCs w:val="18"/>
              </w:rPr>
              <w:t>Turney 2016</w:t>
            </w:r>
            <w:r w:rsidR="000C46FD">
              <w:rPr>
                <w:iCs/>
                <w:sz w:val="18"/>
                <w:szCs w:val="18"/>
              </w:rPr>
              <w:t>)</w:t>
            </w:r>
            <w:r w:rsidR="001E3218">
              <w:rPr>
                <w:iCs/>
                <w:sz w:val="18"/>
                <w:szCs w:val="18"/>
              </w:rPr>
              <w:t xml:space="preserve">. This suggests that there should be more algae in the </w:t>
            </w:r>
            <w:r w:rsidR="00A30181">
              <w:rPr>
                <w:iCs/>
                <w:sz w:val="18"/>
                <w:szCs w:val="18"/>
              </w:rPr>
              <w:t>species sensitivity distribution (</w:t>
            </w:r>
            <w:r w:rsidR="001E3218">
              <w:rPr>
                <w:iCs/>
                <w:sz w:val="18"/>
                <w:szCs w:val="18"/>
              </w:rPr>
              <w:t>SSD</w:t>
            </w:r>
            <w:r w:rsidR="00A30181">
              <w:rPr>
                <w:iCs/>
                <w:sz w:val="18"/>
                <w:szCs w:val="18"/>
              </w:rPr>
              <w:t>)</w:t>
            </w:r>
            <w:r w:rsidR="001E3218">
              <w:rPr>
                <w:iCs/>
                <w:sz w:val="18"/>
                <w:szCs w:val="18"/>
              </w:rPr>
              <w:t xml:space="preserve"> than invertebrates and fish if the SSD is to represent the ecosystem. </w:t>
            </w:r>
          </w:p>
          <w:p w14:paraId="55AAF916" w14:textId="34362E66" w:rsidR="004042C3" w:rsidRDefault="009040C0" w:rsidP="001F62F1">
            <w:pPr>
              <w:spacing w:before="60" w:after="60" w:line="240" w:lineRule="auto"/>
              <w:rPr>
                <w:iCs/>
                <w:sz w:val="18"/>
                <w:szCs w:val="18"/>
              </w:rPr>
            </w:pPr>
            <w:r>
              <w:rPr>
                <w:iCs/>
                <w:sz w:val="18"/>
                <w:szCs w:val="18"/>
              </w:rPr>
              <w:t xml:space="preserve">Furthermore, the algal species included in the SSD </w:t>
            </w:r>
            <w:r w:rsidR="00931738">
              <w:rPr>
                <w:iCs/>
                <w:sz w:val="18"/>
                <w:szCs w:val="18"/>
              </w:rPr>
              <w:t xml:space="preserve">also represent several different groups – </w:t>
            </w:r>
            <w:r w:rsidR="0051627F">
              <w:rPr>
                <w:iCs/>
                <w:sz w:val="18"/>
                <w:szCs w:val="18"/>
              </w:rPr>
              <w:t xml:space="preserve">cyanobacteria, </w:t>
            </w:r>
            <w:r w:rsidR="00931738">
              <w:rPr>
                <w:iCs/>
                <w:sz w:val="18"/>
                <w:szCs w:val="18"/>
              </w:rPr>
              <w:t xml:space="preserve">diatoms, </w:t>
            </w:r>
            <w:r w:rsidR="00BB612C">
              <w:rPr>
                <w:iCs/>
                <w:sz w:val="18"/>
                <w:szCs w:val="18"/>
              </w:rPr>
              <w:t xml:space="preserve">golden </w:t>
            </w:r>
            <w:r w:rsidR="0051627F">
              <w:rPr>
                <w:iCs/>
                <w:sz w:val="18"/>
                <w:szCs w:val="18"/>
              </w:rPr>
              <w:t xml:space="preserve">and green </w:t>
            </w:r>
            <w:r w:rsidR="00931738">
              <w:rPr>
                <w:iCs/>
                <w:sz w:val="18"/>
                <w:szCs w:val="18"/>
              </w:rPr>
              <w:t>microalga</w:t>
            </w:r>
            <w:r w:rsidR="0051627F">
              <w:rPr>
                <w:iCs/>
                <w:sz w:val="18"/>
                <w:szCs w:val="18"/>
              </w:rPr>
              <w:t>e</w:t>
            </w:r>
            <w:r w:rsidR="00931738">
              <w:rPr>
                <w:iCs/>
                <w:sz w:val="18"/>
                <w:szCs w:val="18"/>
              </w:rPr>
              <w:t>,</w:t>
            </w:r>
            <w:r w:rsidR="0051627F">
              <w:rPr>
                <w:iCs/>
                <w:sz w:val="18"/>
                <w:szCs w:val="18"/>
              </w:rPr>
              <w:t xml:space="preserve"> and macroalgae. </w:t>
            </w:r>
            <w:r w:rsidR="00A37DE1">
              <w:rPr>
                <w:iCs/>
                <w:sz w:val="18"/>
                <w:szCs w:val="18"/>
              </w:rPr>
              <w:t>These species may be present in different locations around the coast or may dominate at different times of year</w:t>
            </w:r>
            <w:r w:rsidR="00401EF3">
              <w:rPr>
                <w:iCs/>
                <w:sz w:val="18"/>
                <w:szCs w:val="18"/>
              </w:rPr>
              <w:t xml:space="preserve">. If such </w:t>
            </w:r>
            <w:r w:rsidR="00267527">
              <w:rPr>
                <w:iCs/>
                <w:sz w:val="18"/>
                <w:szCs w:val="18"/>
              </w:rPr>
              <w:t>species are not protected (for example, if a guideline value was based on animals only) then the ecosystem would not be protected.</w:t>
            </w:r>
            <w:r w:rsidR="00005C8E">
              <w:rPr>
                <w:iCs/>
                <w:sz w:val="18"/>
                <w:szCs w:val="18"/>
              </w:rPr>
              <w:t xml:space="preserve">  </w:t>
            </w:r>
          </w:p>
          <w:p w14:paraId="17FA46AC" w14:textId="6CB51032" w:rsidR="003257A3" w:rsidRPr="004A7EDD" w:rsidRDefault="002C6A5E" w:rsidP="001F62F1">
            <w:pPr>
              <w:spacing w:before="60" w:after="60" w:line="240" w:lineRule="auto"/>
              <w:rPr>
                <w:iCs/>
                <w:sz w:val="18"/>
                <w:szCs w:val="18"/>
              </w:rPr>
            </w:pPr>
            <w:r>
              <w:rPr>
                <w:iCs/>
                <w:sz w:val="18"/>
                <w:szCs w:val="18"/>
              </w:rPr>
              <w:t>While there are some algae in the toxicity dataset that are very sensitive to copper, there are also several species that are not sensitive (i.e., the cyanobacteri</w:t>
            </w:r>
            <w:r w:rsidR="00A775B3">
              <w:rPr>
                <w:iCs/>
                <w:sz w:val="18"/>
                <w:szCs w:val="18"/>
              </w:rPr>
              <w:t>um</w:t>
            </w:r>
            <w:r>
              <w:rPr>
                <w:iCs/>
                <w:sz w:val="18"/>
                <w:szCs w:val="18"/>
              </w:rPr>
              <w:t xml:space="preserve"> which is the least sensitive species) </w:t>
            </w:r>
            <w:r w:rsidR="00A775B3">
              <w:rPr>
                <w:iCs/>
                <w:sz w:val="18"/>
                <w:szCs w:val="18"/>
              </w:rPr>
              <w:t>or</w:t>
            </w:r>
            <w:r>
              <w:rPr>
                <w:iCs/>
                <w:sz w:val="18"/>
                <w:szCs w:val="18"/>
              </w:rPr>
              <w:t xml:space="preserve"> of only moderate sensitivity (</w:t>
            </w:r>
            <w:r w:rsidR="007C2A0D">
              <w:rPr>
                <w:iCs/>
                <w:sz w:val="18"/>
                <w:szCs w:val="18"/>
              </w:rPr>
              <w:t xml:space="preserve">e.g., 3 species in the middle of the range). Further, of the </w:t>
            </w:r>
            <w:r w:rsidR="00213926">
              <w:rPr>
                <w:iCs/>
                <w:sz w:val="18"/>
                <w:szCs w:val="18"/>
              </w:rPr>
              <w:t xml:space="preserve">5 </w:t>
            </w:r>
            <w:r w:rsidR="007C2A0D">
              <w:rPr>
                <w:iCs/>
                <w:sz w:val="18"/>
                <w:szCs w:val="18"/>
              </w:rPr>
              <w:t xml:space="preserve">most sensitive species, </w:t>
            </w:r>
            <w:r w:rsidR="00213926">
              <w:rPr>
                <w:iCs/>
                <w:sz w:val="18"/>
                <w:szCs w:val="18"/>
              </w:rPr>
              <w:t xml:space="preserve">3 are algae and 2 </w:t>
            </w:r>
            <w:r w:rsidR="00A775B3">
              <w:rPr>
                <w:iCs/>
                <w:sz w:val="18"/>
                <w:szCs w:val="18"/>
              </w:rPr>
              <w:t>are invertebrates</w:t>
            </w:r>
            <w:r w:rsidR="00213926">
              <w:rPr>
                <w:iCs/>
                <w:sz w:val="18"/>
                <w:szCs w:val="18"/>
              </w:rPr>
              <w:t xml:space="preserve"> (one crustacean, one mollusc).</w:t>
            </w:r>
          </w:p>
        </w:tc>
        <w:tc>
          <w:tcPr>
            <w:tcW w:w="3118" w:type="dxa"/>
            <w:tcBorders>
              <w:top w:val="single" w:sz="4" w:space="0" w:color="auto"/>
              <w:left w:val="single" w:sz="4" w:space="0" w:color="auto"/>
              <w:bottom w:val="single" w:sz="4" w:space="0" w:color="auto"/>
              <w:right w:val="single" w:sz="4" w:space="0" w:color="auto"/>
            </w:tcBorders>
          </w:tcPr>
          <w:p w14:paraId="7776021B" w14:textId="215BB0DA" w:rsidR="0028006E" w:rsidRPr="004A7EDD" w:rsidRDefault="000C46FD" w:rsidP="0028006E">
            <w:pPr>
              <w:spacing w:before="60" w:after="60" w:line="280" w:lineRule="atLeast"/>
              <w:rPr>
                <w:sz w:val="18"/>
                <w:szCs w:val="18"/>
              </w:rPr>
            </w:pPr>
            <w:r>
              <w:rPr>
                <w:sz w:val="18"/>
                <w:szCs w:val="18"/>
              </w:rPr>
              <w:t>Section 4.2 of the technical brief has been updated to reflect the response to the comment.</w:t>
            </w:r>
          </w:p>
        </w:tc>
      </w:tr>
      <w:tr w:rsidR="0028006E" w14:paraId="2895E5D5" w14:textId="77777777" w:rsidTr="004A7EDD">
        <w:tc>
          <w:tcPr>
            <w:tcW w:w="4673" w:type="dxa"/>
            <w:tcBorders>
              <w:top w:val="single" w:sz="4" w:space="0" w:color="auto"/>
              <w:left w:val="single" w:sz="4" w:space="0" w:color="auto"/>
              <w:bottom w:val="single" w:sz="4" w:space="0" w:color="auto"/>
              <w:right w:val="single" w:sz="4" w:space="0" w:color="auto"/>
            </w:tcBorders>
          </w:tcPr>
          <w:p w14:paraId="6FC874E2" w14:textId="0DB0A294" w:rsidR="0028006E" w:rsidRPr="00D62FEF" w:rsidRDefault="00022CF2" w:rsidP="00D62FEF">
            <w:pPr>
              <w:pStyle w:val="ListParagraph"/>
              <w:numPr>
                <w:ilvl w:val="0"/>
                <w:numId w:val="22"/>
              </w:numPr>
              <w:spacing w:before="60" w:after="60"/>
              <w:rPr>
                <w:bCs/>
                <w:sz w:val="18"/>
                <w:szCs w:val="18"/>
              </w:rPr>
            </w:pPr>
            <w:r w:rsidRPr="00D62FEF">
              <w:rPr>
                <w:bCs/>
                <w:sz w:val="18"/>
                <w:szCs w:val="18"/>
              </w:rPr>
              <w:lastRenderedPageBreak/>
              <w:t>Seemingly arbitrary inclusion and exclusion of 'non-preferred' ecotoxicological data (i.e. No Observed Effect Concentration - NOEC and converted- NOEC) despite the dataset being classified as "preferred' (highest rating) in the absence of 'non-preferred' data.</w:t>
            </w:r>
          </w:p>
        </w:tc>
        <w:tc>
          <w:tcPr>
            <w:tcW w:w="5954" w:type="dxa"/>
            <w:tcBorders>
              <w:top w:val="single" w:sz="4" w:space="0" w:color="auto"/>
              <w:left w:val="single" w:sz="4" w:space="0" w:color="auto"/>
              <w:bottom w:val="single" w:sz="4" w:space="0" w:color="auto"/>
              <w:right w:val="single" w:sz="4" w:space="0" w:color="auto"/>
            </w:tcBorders>
          </w:tcPr>
          <w:p w14:paraId="51B6B69A" w14:textId="48F9D184" w:rsidR="0028006E" w:rsidRDefault="00E860D4" w:rsidP="0028006E">
            <w:pPr>
              <w:spacing w:before="60" w:after="60" w:line="240" w:lineRule="auto"/>
              <w:rPr>
                <w:iCs/>
                <w:sz w:val="18"/>
                <w:szCs w:val="18"/>
              </w:rPr>
            </w:pPr>
            <w:r>
              <w:rPr>
                <w:iCs/>
                <w:sz w:val="18"/>
                <w:szCs w:val="18"/>
              </w:rPr>
              <w:t xml:space="preserve">The inclusion of non-preferred ecotoxicological data was not arbitrary but was based on a </w:t>
            </w:r>
            <w:r w:rsidR="00F44E91">
              <w:rPr>
                <w:iCs/>
                <w:sz w:val="18"/>
                <w:szCs w:val="18"/>
              </w:rPr>
              <w:t>philosophy of deriving guideline</w:t>
            </w:r>
            <w:r w:rsidR="000C46FD">
              <w:rPr>
                <w:iCs/>
                <w:sz w:val="18"/>
                <w:szCs w:val="18"/>
              </w:rPr>
              <w:t xml:space="preserve"> value</w:t>
            </w:r>
            <w:r w:rsidR="00F44E91">
              <w:rPr>
                <w:iCs/>
                <w:sz w:val="18"/>
                <w:szCs w:val="18"/>
              </w:rPr>
              <w:t>s suitable for the Australia and New Zealand region – with species from these regions dominating the dataset. The</w:t>
            </w:r>
            <w:r w:rsidR="00777E25">
              <w:rPr>
                <w:iCs/>
                <w:sz w:val="18"/>
                <w:szCs w:val="18"/>
              </w:rPr>
              <w:t>refore</w:t>
            </w:r>
            <w:r w:rsidR="004A4352">
              <w:rPr>
                <w:iCs/>
                <w:sz w:val="18"/>
                <w:szCs w:val="18"/>
              </w:rPr>
              <w:t>,</w:t>
            </w:r>
            <w:r w:rsidR="00777E25">
              <w:rPr>
                <w:iCs/>
                <w:sz w:val="18"/>
                <w:szCs w:val="18"/>
              </w:rPr>
              <w:t xml:space="preserve"> NOEC values were accepted where these were the only data available for species found in the region. </w:t>
            </w:r>
          </w:p>
          <w:p w14:paraId="3BF0E891" w14:textId="6687F315" w:rsidR="00A20D38" w:rsidRDefault="00777E25" w:rsidP="0028006E">
            <w:pPr>
              <w:spacing w:before="60" w:after="60" w:line="240" w:lineRule="auto"/>
              <w:rPr>
                <w:iCs/>
                <w:sz w:val="18"/>
                <w:szCs w:val="18"/>
              </w:rPr>
            </w:pPr>
            <w:r>
              <w:rPr>
                <w:iCs/>
                <w:sz w:val="18"/>
                <w:szCs w:val="18"/>
              </w:rPr>
              <w:t xml:space="preserve">There were also </w:t>
            </w:r>
            <w:r w:rsidR="00683A91">
              <w:rPr>
                <w:iCs/>
                <w:sz w:val="18"/>
                <w:szCs w:val="18"/>
              </w:rPr>
              <w:t xml:space="preserve">four values where </w:t>
            </w:r>
            <w:r w:rsidR="00E905A0">
              <w:rPr>
                <w:iCs/>
                <w:sz w:val="18"/>
                <w:szCs w:val="18"/>
              </w:rPr>
              <w:t>NOEC data were available but not in a form suitable for inclusion – this is where the converted NOEC data were accepted.</w:t>
            </w:r>
            <w:r w:rsidR="009A569F">
              <w:rPr>
                <w:iCs/>
                <w:sz w:val="18"/>
                <w:szCs w:val="18"/>
              </w:rPr>
              <w:t xml:space="preserve"> These data were each </w:t>
            </w:r>
            <w:r w:rsidR="00A20D38">
              <w:rPr>
                <w:iCs/>
                <w:sz w:val="18"/>
                <w:szCs w:val="18"/>
              </w:rPr>
              <w:t>carefully considered to determine a suitable value for each for inclusion in the SSD.</w:t>
            </w:r>
            <w:r w:rsidR="004A4352">
              <w:rPr>
                <w:iCs/>
                <w:sz w:val="18"/>
                <w:szCs w:val="18"/>
              </w:rPr>
              <w:t xml:space="preserve"> Justification for the data selection decisions was documented. </w:t>
            </w:r>
          </w:p>
          <w:p w14:paraId="5E509FE8" w14:textId="088F1823" w:rsidR="00777E25" w:rsidRDefault="005F17F3" w:rsidP="0028006E">
            <w:pPr>
              <w:spacing w:before="60" w:after="60" w:line="240" w:lineRule="auto"/>
              <w:rPr>
                <w:iCs/>
                <w:sz w:val="18"/>
                <w:szCs w:val="18"/>
              </w:rPr>
            </w:pPr>
            <w:r>
              <w:rPr>
                <w:iCs/>
                <w:sz w:val="18"/>
                <w:szCs w:val="18"/>
              </w:rPr>
              <w:t xml:space="preserve">An alternative derivation </w:t>
            </w:r>
            <w:r w:rsidR="00A20D38">
              <w:rPr>
                <w:iCs/>
                <w:sz w:val="18"/>
                <w:szCs w:val="18"/>
              </w:rPr>
              <w:t xml:space="preserve">is to use </w:t>
            </w:r>
            <w:r>
              <w:rPr>
                <w:iCs/>
                <w:sz w:val="18"/>
                <w:szCs w:val="18"/>
              </w:rPr>
              <w:t xml:space="preserve">all the </w:t>
            </w:r>
            <w:r w:rsidR="000F1627">
              <w:rPr>
                <w:iCs/>
                <w:sz w:val="18"/>
                <w:szCs w:val="18"/>
              </w:rPr>
              <w:t xml:space="preserve">values directly from data reported as </w:t>
            </w:r>
            <w:r>
              <w:rPr>
                <w:iCs/>
                <w:sz w:val="18"/>
                <w:szCs w:val="18"/>
              </w:rPr>
              <w:t>&lt;</w:t>
            </w:r>
            <w:r w:rsidR="000F1627">
              <w:rPr>
                <w:iCs/>
                <w:sz w:val="18"/>
                <w:szCs w:val="18"/>
              </w:rPr>
              <w:t xml:space="preserve"> values</w:t>
            </w:r>
            <w:r w:rsidR="00A30181">
              <w:rPr>
                <w:iCs/>
                <w:sz w:val="18"/>
                <w:szCs w:val="18"/>
              </w:rPr>
              <w:t xml:space="preserve"> (i.e. with no conversion)</w:t>
            </w:r>
            <w:r w:rsidR="00FF53F9">
              <w:rPr>
                <w:iCs/>
                <w:sz w:val="18"/>
                <w:szCs w:val="18"/>
              </w:rPr>
              <w:t>. DGVs derived on th</w:t>
            </w:r>
            <w:r w:rsidR="00A30181">
              <w:rPr>
                <w:iCs/>
                <w:sz w:val="18"/>
                <w:szCs w:val="18"/>
              </w:rPr>
              <w:t>is</w:t>
            </w:r>
            <w:r w:rsidR="00FF53F9">
              <w:rPr>
                <w:iCs/>
                <w:sz w:val="18"/>
                <w:szCs w:val="18"/>
              </w:rPr>
              <w:t xml:space="preserve"> basis are presented </w:t>
            </w:r>
            <w:r w:rsidR="00A30181">
              <w:rPr>
                <w:iCs/>
                <w:sz w:val="18"/>
                <w:szCs w:val="18"/>
              </w:rPr>
              <w:t xml:space="preserve">in the table </w:t>
            </w:r>
            <w:r w:rsidR="00FF53F9">
              <w:rPr>
                <w:iCs/>
                <w:sz w:val="18"/>
                <w:szCs w:val="18"/>
              </w:rPr>
              <w:t xml:space="preserve">below, compared to the DGVs presented in the </w:t>
            </w:r>
            <w:r w:rsidR="009A569F">
              <w:rPr>
                <w:iCs/>
                <w:sz w:val="18"/>
                <w:szCs w:val="18"/>
              </w:rPr>
              <w:t>draft technical brief</w:t>
            </w:r>
            <w:r w:rsidR="00A44A55">
              <w:rPr>
                <w:iCs/>
                <w:sz w:val="18"/>
                <w:szCs w:val="18"/>
              </w:rPr>
              <w:t xml:space="preserve"> and compared to the updated version including </w:t>
            </w:r>
            <w:r w:rsidR="00667242">
              <w:rPr>
                <w:iCs/>
                <w:sz w:val="18"/>
                <w:szCs w:val="18"/>
              </w:rPr>
              <w:t xml:space="preserve">13 </w:t>
            </w:r>
            <w:r w:rsidR="00A44A55">
              <w:rPr>
                <w:iCs/>
                <w:sz w:val="18"/>
                <w:szCs w:val="18"/>
              </w:rPr>
              <w:t xml:space="preserve">new animal species. </w:t>
            </w:r>
          </w:p>
          <w:p w14:paraId="2BD69FB0" w14:textId="02387879" w:rsidR="00A44A55" w:rsidRDefault="006D5B7E" w:rsidP="0028006E">
            <w:pPr>
              <w:spacing w:before="60" w:after="60" w:line="240" w:lineRule="auto"/>
              <w:rPr>
                <w:iCs/>
                <w:sz w:val="18"/>
                <w:szCs w:val="18"/>
              </w:rPr>
            </w:pPr>
            <w:r>
              <w:rPr>
                <w:iCs/>
                <w:sz w:val="18"/>
                <w:szCs w:val="18"/>
              </w:rPr>
              <w:t>For</w:t>
            </w:r>
            <w:r w:rsidR="00516C0C">
              <w:rPr>
                <w:iCs/>
                <w:sz w:val="18"/>
                <w:szCs w:val="18"/>
              </w:rPr>
              <w:t xml:space="preserve"> the </w:t>
            </w:r>
            <w:r w:rsidR="00A44A55">
              <w:rPr>
                <w:iCs/>
                <w:sz w:val="18"/>
                <w:szCs w:val="18"/>
              </w:rPr>
              <w:t xml:space="preserve">original toxicity dataset, the </w:t>
            </w:r>
            <w:r w:rsidR="007E1F10">
              <w:rPr>
                <w:iCs/>
                <w:sz w:val="18"/>
                <w:szCs w:val="18"/>
              </w:rPr>
              <w:t xml:space="preserve">99% </w:t>
            </w:r>
            <w:r w:rsidR="003A6257">
              <w:rPr>
                <w:iCs/>
                <w:sz w:val="18"/>
                <w:szCs w:val="18"/>
              </w:rPr>
              <w:t>species</w:t>
            </w:r>
            <w:r w:rsidR="007E1F10">
              <w:rPr>
                <w:iCs/>
                <w:sz w:val="18"/>
                <w:szCs w:val="18"/>
              </w:rPr>
              <w:t xml:space="preserve"> protection value decreases</w:t>
            </w:r>
            <w:r w:rsidR="002C4D4A">
              <w:rPr>
                <w:iCs/>
                <w:sz w:val="18"/>
                <w:szCs w:val="18"/>
              </w:rPr>
              <w:t xml:space="preserve"> slightly</w:t>
            </w:r>
            <w:r w:rsidR="007E1F10">
              <w:rPr>
                <w:iCs/>
                <w:sz w:val="18"/>
                <w:szCs w:val="18"/>
              </w:rPr>
              <w:t xml:space="preserve"> while the </w:t>
            </w:r>
            <w:r w:rsidR="003A6257">
              <w:rPr>
                <w:iCs/>
                <w:sz w:val="18"/>
                <w:szCs w:val="18"/>
              </w:rPr>
              <w:t xml:space="preserve">80% species protection value </w:t>
            </w:r>
            <w:r w:rsidR="007E1F10">
              <w:rPr>
                <w:iCs/>
                <w:sz w:val="18"/>
                <w:szCs w:val="18"/>
              </w:rPr>
              <w:t>increases</w:t>
            </w:r>
            <w:r w:rsidR="00516C0C">
              <w:rPr>
                <w:iCs/>
                <w:sz w:val="18"/>
                <w:szCs w:val="18"/>
              </w:rPr>
              <w:t xml:space="preserve"> (compared to the </w:t>
            </w:r>
            <w:r w:rsidR="003A6257">
              <w:rPr>
                <w:iCs/>
                <w:sz w:val="18"/>
                <w:szCs w:val="18"/>
              </w:rPr>
              <w:t>data</w:t>
            </w:r>
            <w:r w:rsidR="00516C0C">
              <w:rPr>
                <w:iCs/>
                <w:sz w:val="18"/>
                <w:szCs w:val="18"/>
              </w:rPr>
              <w:t>set with converted NOEC data)</w:t>
            </w:r>
            <w:r w:rsidR="007E1F10">
              <w:rPr>
                <w:iCs/>
                <w:sz w:val="18"/>
                <w:szCs w:val="18"/>
              </w:rPr>
              <w:t xml:space="preserve"> due to a slightly different shape of the model fit through the toxicity data</w:t>
            </w:r>
            <w:r w:rsidR="00A30181">
              <w:rPr>
                <w:iCs/>
                <w:sz w:val="18"/>
                <w:szCs w:val="18"/>
              </w:rPr>
              <w:t xml:space="preserve"> (see SSD plot below)</w:t>
            </w:r>
            <w:r w:rsidR="007E1F10">
              <w:rPr>
                <w:iCs/>
                <w:sz w:val="18"/>
                <w:szCs w:val="18"/>
              </w:rPr>
              <w:t xml:space="preserve">. </w:t>
            </w:r>
            <w:r w:rsidR="00E11B13">
              <w:rPr>
                <w:iCs/>
                <w:sz w:val="18"/>
                <w:szCs w:val="18"/>
              </w:rPr>
              <w:t>However, overall, the values do not differ markedly between the datasets</w:t>
            </w:r>
            <w:r>
              <w:rPr>
                <w:iCs/>
                <w:sz w:val="18"/>
                <w:szCs w:val="18"/>
              </w:rPr>
              <w:t>, especially for the updated dataset</w:t>
            </w:r>
            <w:r w:rsidR="00E11B13">
              <w:rPr>
                <w:iCs/>
                <w:sz w:val="18"/>
                <w:szCs w:val="18"/>
              </w:rPr>
              <w:t>.</w:t>
            </w:r>
            <w:r w:rsidR="00667242">
              <w:rPr>
                <w:iCs/>
                <w:sz w:val="18"/>
                <w:szCs w:val="18"/>
              </w:rPr>
              <w:t xml:space="preserve"> T</w:t>
            </w:r>
            <w:r w:rsidR="00667242" w:rsidRPr="00667242">
              <w:rPr>
                <w:iCs/>
                <w:sz w:val="18"/>
                <w:szCs w:val="18"/>
              </w:rPr>
              <w:t>hrough this re</w:t>
            </w:r>
            <w:r>
              <w:rPr>
                <w:iCs/>
                <w:sz w:val="18"/>
                <w:szCs w:val="18"/>
              </w:rPr>
              <w:t>-</w:t>
            </w:r>
            <w:r w:rsidR="00667242" w:rsidRPr="00667242">
              <w:rPr>
                <w:iCs/>
                <w:sz w:val="18"/>
                <w:szCs w:val="18"/>
              </w:rPr>
              <w:t xml:space="preserve">assessment, the approach for </w:t>
            </w:r>
            <w:r w:rsidR="00667242" w:rsidRPr="00EA3A3E">
              <w:rPr>
                <w:i/>
                <w:sz w:val="18"/>
                <w:szCs w:val="18"/>
              </w:rPr>
              <w:t>Hydroides elegans</w:t>
            </w:r>
            <w:r w:rsidR="00667242" w:rsidRPr="00667242">
              <w:rPr>
                <w:iCs/>
                <w:sz w:val="18"/>
                <w:szCs w:val="18"/>
              </w:rPr>
              <w:t xml:space="preserve"> used in the draft DGV released for public comment (value of 2.5 µg/L calculated by dividing the LOEC of 6.2 µg/L by 2.5), was considered too conservative and was replaced with the value 6.2 µg/L (based on the reported NOEC of &lt;6.2 µg/L).</w:t>
            </w:r>
          </w:p>
          <w:p w14:paraId="423C6004" w14:textId="77777777" w:rsidR="002262C5" w:rsidRDefault="002262C5" w:rsidP="0028006E">
            <w:pPr>
              <w:spacing w:before="60" w:after="60" w:line="240" w:lineRule="auto"/>
              <w:rPr>
                <w:iCs/>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GV for copper in marine water "/>
              <w:tblDescription w:val="the table shows an alternative derivation is to use all the values directly from data reported as less values (i.e. with no conversion). DGVs derived on this basis are presented and compared to the DGVs presented in the draft technical brief and compared to the updated version including 13 new animal species. "/>
            </w:tblPr>
            <w:tblGrid>
              <w:gridCol w:w="1137"/>
              <w:gridCol w:w="1136"/>
              <w:gridCol w:w="1137"/>
              <w:gridCol w:w="1312"/>
              <w:gridCol w:w="1141"/>
            </w:tblGrid>
            <w:tr w:rsidR="00E6545C" w:rsidRPr="004578C7" w14:paraId="78DA882A" w14:textId="77777777" w:rsidTr="00667242">
              <w:trPr>
                <w:trHeight w:val="44"/>
                <w:tblHeader/>
              </w:trPr>
              <w:tc>
                <w:tcPr>
                  <w:tcW w:w="969" w:type="pct"/>
                  <w:tcBorders>
                    <w:top w:val="single" w:sz="12" w:space="0" w:color="auto"/>
                    <w:bottom w:val="single" w:sz="12" w:space="0" w:color="auto"/>
                  </w:tcBorders>
                </w:tcPr>
                <w:p w14:paraId="5F0C4DF3" w14:textId="77777777" w:rsidR="00E6545C" w:rsidRPr="004578C7" w:rsidRDefault="00E6545C" w:rsidP="00E6545C">
                  <w:pPr>
                    <w:pStyle w:val="TableHeading"/>
                    <w:spacing w:before="50" w:after="50"/>
                    <w:rPr>
                      <w:rFonts w:asciiTheme="minorHAnsi" w:hAnsiTheme="minorHAnsi" w:cstheme="minorHAnsi"/>
                      <w:szCs w:val="18"/>
                    </w:rPr>
                  </w:pPr>
                </w:p>
              </w:tc>
              <w:tc>
                <w:tcPr>
                  <w:tcW w:w="4031" w:type="pct"/>
                  <w:gridSpan w:val="4"/>
                  <w:tcBorders>
                    <w:top w:val="single" w:sz="12" w:space="0" w:color="auto"/>
                    <w:bottom w:val="single" w:sz="12" w:space="0" w:color="auto"/>
                  </w:tcBorders>
                </w:tcPr>
                <w:p w14:paraId="761759BC" w14:textId="4442BE74" w:rsidR="00E6545C" w:rsidRPr="004578C7" w:rsidRDefault="00E6545C" w:rsidP="00E6545C">
                  <w:pPr>
                    <w:pStyle w:val="TableHeading"/>
                    <w:spacing w:before="50" w:after="50"/>
                    <w:jc w:val="center"/>
                    <w:rPr>
                      <w:rFonts w:asciiTheme="minorHAnsi" w:hAnsiTheme="minorHAnsi" w:cstheme="minorHAnsi"/>
                      <w:szCs w:val="18"/>
                    </w:rPr>
                  </w:pPr>
                  <w:r w:rsidRPr="004578C7">
                    <w:rPr>
                      <w:rFonts w:asciiTheme="minorHAnsi" w:hAnsiTheme="minorHAnsi" w:cstheme="minorHAnsi"/>
                      <w:szCs w:val="18"/>
                    </w:rPr>
                    <w:t>DGV for copper in marine water (</w:t>
                  </w:r>
                  <w:r w:rsidRPr="004578C7">
                    <w:rPr>
                      <w:rFonts w:asciiTheme="minorHAnsi" w:hAnsiTheme="minorHAnsi" w:cstheme="minorHAnsi"/>
                      <w:b w:val="0"/>
                      <w:szCs w:val="18"/>
                    </w:rPr>
                    <w:sym w:font="Symbol" w:char="F06D"/>
                  </w:r>
                  <w:r w:rsidRPr="004578C7">
                    <w:rPr>
                      <w:rFonts w:asciiTheme="minorHAnsi" w:hAnsiTheme="minorHAnsi" w:cstheme="minorHAnsi"/>
                      <w:szCs w:val="18"/>
                    </w:rPr>
                    <w:t>g/L)</w:t>
                  </w:r>
                </w:p>
              </w:tc>
            </w:tr>
            <w:tr w:rsidR="002D7154" w:rsidRPr="004578C7" w14:paraId="0C4C0CF5" w14:textId="77777777" w:rsidTr="00667242">
              <w:trPr>
                <w:trHeight w:val="44"/>
                <w:tblHeader/>
              </w:trPr>
              <w:tc>
                <w:tcPr>
                  <w:tcW w:w="969" w:type="pct"/>
                  <w:tcBorders>
                    <w:top w:val="single" w:sz="12" w:space="0" w:color="auto"/>
                    <w:bottom w:val="single" w:sz="12" w:space="0" w:color="auto"/>
                  </w:tcBorders>
                </w:tcPr>
                <w:p w14:paraId="72A6B1A9" w14:textId="77777777" w:rsidR="00E6545C" w:rsidRPr="004578C7" w:rsidRDefault="00E6545C" w:rsidP="00E6545C">
                  <w:pPr>
                    <w:pStyle w:val="TableHeading"/>
                    <w:spacing w:before="50" w:after="50"/>
                    <w:rPr>
                      <w:rFonts w:asciiTheme="minorHAnsi" w:hAnsiTheme="minorHAnsi" w:cstheme="minorHAnsi"/>
                      <w:szCs w:val="18"/>
                    </w:rPr>
                  </w:pPr>
                  <w:r w:rsidRPr="004578C7">
                    <w:rPr>
                      <w:rFonts w:asciiTheme="minorHAnsi" w:hAnsiTheme="minorHAnsi" w:cstheme="minorHAnsi"/>
                      <w:szCs w:val="18"/>
                    </w:rPr>
                    <w:t>Level of species protection (%)</w:t>
                  </w:r>
                </w:p>
              </w:tc>
              <w:tc>
                <w:tcPr>
                  <w:tcW w:w="969" w:type="pct"/>
                  <w:tcBorders>
                    <w:top w:val="single" w:sz="12" w:space="0" w:color="auto"/>
                    <w:bottom w:val="single" w:sz="12" w:space="0" w:color="auto"/>
                  </w:tcBorders>
                </w:tcPr>
                <w:p w14:paraId="7FFA8AB7" w14:textId="77777777" w:rsidR="00E6545C" w:rsidRPr="004578C7" w:rsidRDefault="00E6545C" w:rsidP="00E6545C">
                  <w:pPr>
                    <w:pStyle w:val="TableHeading"/>
                    <w:spacing w:before="50" w:after="50"/>
                    <w:jc w:val="center"/>
                    <w:rPr>
                      <w:rFonts w:asciiTheme="minorHAnsi" w:hAnsiTheme="minorHAnsi" w:cstheme="minorHAnsi"/>
                      <w:szCs w:val="18"/>
                    </w:rPr>
                  </w:pPr>
                  <w:r>
                    <w:rPr>
                      <w:rFonts w:asciiTheme="minorHAnsi" w:hAnsiTheme="minorHAnsi" w:cstheme="minorHAnsi"/>
                      <w:szCs w:val="18"/>
                    </w:rPr>
                    <w:t>Draft DGV for public submission</w:t>
                  </w:r>
                </w:p>
              </w:tc>
              <w:tc>
                <w:tcPr>
                  <w:tcW w:w="970" w:type="pct"/>
                  <w:tcBorders>
                    <w:top w:val="single" w:sz="12" w:space="0" w:color="auto"/>
                    <w:bottom w:val="single" w:sz="12" w:space="0" w:color="auto"/>
                  </w:tcBorders>
                </w:tcPr>
                <w:p w14:paraId="49A88517" w14:textId="77777777" w:rsidR="00E6545C" w:rsidRDefault="00E6545C" w:rsidP="00E6545C">
                  <w:pPr>
                    <w:pStyle w:val="TableHeading"/>
                    <w:spacing w:before="50" w:after="50"/>
                    <w:jc w:val="center"/>
                    <w:rPr>
                      <w:rFonts w:cstheme="minorHAnsi"/>
                      <w:szCs w:val="18"/>
                    </w:rPr>
                  </w:pPr>
                  <w:r>
                    <w:rPr>
                      <w:rFonts w:asciiTheme="minorHAnsi" w:hAnsiTheme="minorHAnsi" w:cstheme="minorHAnsi"/>
                      <w:szCs w:val="18"/>
                    </w:rPr>
                    <w:t>Using NOEC values with no conversion of &lt;NOEC values</w:t>
                  </w:r>
                </w:p>
              </w:tc>
              <w:tc>
                <w:tcPr>
                  <w:tcW w:w="1119" w:type="pct"/>
                  <w:tcBorders>
                    <w:top w:val="single" w:sz="12" w:space="0" w:color="auto"/>
                    <w:bottom w:val="single" w:sz="12" w:space="0" w:color="auto"/>
                  </w:tcBorders>
                </w:tcPr>
                <w:p w14:paraId="6106B1DF" w14:textId="77777777" w:rsidR="00E6545C" w:rsidRPr="004578C7" w:rsidRDefault="00E6545C" w:rsidP="00E6545C">
                  <w:pPr>
                    <w:pStyle w:val="TableHeading"/>
                    <w:spacing w:before="50" w:after="50"/>
                    <w:jc w:val="center"/>
                    <w:rPr>
                      <w:rFonts w:asciiTheme="minorHAnsi" w:hAnsiTheme="minorHAnsi" w:cstheme="minorHAnsi"/>
                      <w:szCs w:val="18"/>
                    </w:rPr>
                  </w:pPr>
                  <w:r>
                    <w:rPr>
                      <w:rFonts w:asciiTheme="minorHAnsi" w:hAnsiTheme="minorHAnsi" w:cstheme="minorHAnsi"/>
                      <w:szCs w:val="18"/>
                    </w:rPr>
                    <w:t>Updated draft DGV including new data</w:t>
                  </w:r>
                </w:p>
              </w:tc>
              <w:tc>
                <w:tcPr>
                  <w:tcW w:w="973" w:type="pct"/>
                  <w:tcBorders>
                    <w:top w:val="single" w:sz="12" w:space="0" w:color="auto"/>
                    <w:bottom w:val="single" w:sz="12" w:space="0" w:color="auto"/>
                  </w:tcBorders>
                </w:tcPr>
                <w:p w14:paraId="58E2B524" w14:textId="77777777" w:rsidR="00E6545C" w:rsidRPr="004578C7" w:rsidRDefault="00E6545C" w:rsidP="00E6545C">
                  <w:pPr>
                    <w:pStyle w:val="TableHeading"/>
                    <w:spacing w:before="50" w:after="50"/>
                    <w:jc w:val="center"/>
                    <w:rPr>
                      <w:rFonts w:asciiTheme="minorHAnsi" w:hAnsiTheme="minorHAnsi" w:cstheme="minorHAnsi"/>
                      <w:szCs w:val="18"/>
                    </w:rPr>
                  </w:pPr>
                  <w:r>
                    <w:rPr>
                      <w:rFonts w:asciiTheme="minorHAnsi" w:hAnsiTheme="minorHAnsi" w:cstheme="minorHAnsi"/>
                      <w:szCs w:val="18"/>
                    </w:rPr>
                    <w:t>Updated draft DGV including new data but no conversion</w:t>
                  </w:r>
                </w:p>
              </w:tc>
            </w:tr>
            <w:tr w:rsidR="002D7154" w:rsidRPr="00FC3061" w14:paraId="005F9113" w14:textId="77777777" w:rsidTr="00667242">
              <w:trPr>
                <w:trHeight w:val="44"/>
                <w:tblHeader/>
              </w:trPr>
              <w:tc>
                <w:tcPr>
                  <w:tcW w:w="969" w:type="pct"/>
                  <w:tcBorders>
                    <w:top w:val="single" w:sz="12" w:space="0" w:color="auto"/>
                    <w:bottom w:val="single" w:sz="12" w:space="0" w:color="auto"/>
                  </w:tcBorders>
                </w:tcPr>
                <w:p w14:paraId="5C99D58A" w14:textId="77777777" w:rsidR="00E6545C" w:rsidRPr="00293B55" w:rsidRDefault="00E6545C" w:rsidP="00E6545C">
                  <w:pPr>
                    <w:pStyle w:val="TableHeading"/>
                    <w:spacing w:before="50" w:after="50"/>
                    <w:rPr>
                      <w:rFonts w:cstheme="minorHAnsi"/>
                      <w:szCs w:val="18"/>
                    </w:rPr>
                  </w:pPr>
                  <w:r w:rsidRPr="00293B55">
                    <w:rPr>
                      <w:rFonts w:asciiTheme="minorHAnsi" w:hAnsiTheme="minorHAnsi" w:cstheme="minorHAnsi"/>
                      <w:szCs w:val="18"/>
                    </w:rPr>
                    <w:t>No. species</w:t>
                  </w:r>
                </w:p>
              </w:tc>
              <w:tc>
                <w:tcPr>
                  <w:tcW w:w="969" w:type="pct"/>
                  <w:tcBorders>
                    <w:top w:val="single" w:sz="12" w:space="0" w:color="auto"/>
                    <w:bottom w:val="single" w:sz="12" w:space="0" w:color="auto"/>
                  </w:tcBorders>
                </w:tcPr>
                <w:p w14:paraId="14A1F45D" w14:textId="77777777" w:rsidR="00E6545C" w:rsidRPr="00293B55" w:rsidRDefault="00E6545C" w:rsidP="00E6545C">
                  <w:pPr>
                    <w:pStyle w:val="TableHeading"/>
                    <w:spacing w:before="50" w:after="50"/>
                    <w:jc w:val="center"/>
                    <w:rPr>
                      <w:rFonts w:asciiTheme="minorHAnsi" w:hAnsiTheme="minorHAnsi" w:cstheme="minorHAnsi"/>
                      <w:szCs w:val="18"/>
                    </w:rPr>
                  </w:pPr>
                  <w:r>
                    <w:rPr>
                      <w:rFonts w:asciiTheme="minorHAnsi" w:hAnsiTheme="minorHAnsi" w:cstheme="minorHAnsi"/>
                      <w:szCs w:val="18"/>
                    </w:rPr>
                    <w:t>32</w:t>
                  </w:r>
                </w:p>
              </w:tc>
              <w:tc>
                <w:tcPr>
                  <w:tcW w:w="970" w:type="pct"/>
                  <w:tcBorders>
                    <w:top w:val="single" w:sz="12" w:space="0" w:color="auto"/>
                    <w:bottom w:val="single" w:sz="12" w:space="0" w:color="auto"/>
                  </w:tcBorders>
                </w:tcPr>
                <w:p w14:paraId="24285679" w14:textId="77777777" w:rsidR="00E6545C" w:rsidRPr="00FC3061" w:rsidRDefault="00E6545C" w:rsidP="00E6545C">
                  <w:pPr>
                    <w:pStyle w:val="TableHeading"/>
                    <w:spacing w:before="50" w:after="50"/>
                    <w:jc w:val="center"/>
                    <w:rPr>
                      <w:rFonts w:asciiTheme="minorHAnsi" w:hAnsiTheme="minorHAnsi" w:cstheme="minorHAnsi"/>
                      <w:szCs w:val="18"/>
                    </w:rPr>
                  </w:pPr>
                  <w:r>
                    <w:rPr>
                      <w:rFonts w:asciiTheme="minorHAnsi" w:hAnsiTheme="minorHAnsi" w:cstheme="minorHAnsi"/>
                      <w:szCs w:val="18"/>
                    </w:rPr>
                    <w:t>32</w:t>
                  </w:r>
                </w:p>
              </w:tc>
              <w:tc>
                <w:tcPr>
                  <w:tcW w:w="1119" w:type="pct"/>
                  <w:tcBorders>
                    <w:top w:val="single" w:sz="12" w:space="0" w:color="auto"/>
                    <w:bottom w:val="single" w:sz="12" w:space="0" w:color="auto"/>
                  </w:tcBorders>
                </w:tcPr>
                <w:p w14:paraId="3A8A2CC2" w14:textId="7B8700F7" w:rsidR="00E6545C" w:rsidRPr="00FC3061" w:rsidRDefault="00667242" w:rsidP="00E6545C">
                  <w:pPr>
                    <w:pStyle w:val="TableHeading"/>
                    <w:spacing w:before="50" w:after="50"/>
                    <w:jc w:val="center"/>
                    <w:rPr>
                      <w:rFonts w:asciiTheme="minorHAnsi" w:hAnsiTheme="minorHAnsi" w:cstheme="minorHAnsi"/>
                      <w:szCs w:val="18"/>
                    </w:rPr>
                  </w:pPr>
                  <w:r>
                    <w:rPr>
                      <w:rFonts w:asciiTheme="minorHAnsi" w:hAnsiTheme="minorHAnsi" w:cstheme="minorHAnsi"/>
                      <w:szCs w:val="18"/>
                    </w:rPr>
                    <w:t>45</w:t>
                  </w:r>
                </w:p>
              </w:tc>
              <w:tc>
                <w:tcPr>
                  <w:tcW w:w="973" w:type="pct"/>
                  <w:tcBorders>
                    <w:top w:val="single" w:sz="12" w:space="0" w:color="auto"/>
                    <w:bottom w:val="single" w:sz="12" w:space="0" w:color="auto"/>
                  </w:tcBorders>
                </w:tcPr>
                <w:p w14:paraId="61E3EF48" w14:textId="40A1CD8D" w:rsidR="00E6545C" w:rsidRPr="00FC3061" w:rsidRDefault="00667242" w:rsidP="00E6545C">
                  <w:pPr>
                    <w:pStyle w:val="TableHeading"/>
                    <w:spacing w:before="50" w:after="50"/>
                    <w:jc w:val="center"/>
                    <w:rPr>
                      <w:rFonts w:asciiTheme="minorHAnsi" w:hAnsiTheme="minorHAnsi" w:cstheme="minorHAnsi"/>
                      <w:szCs w:val="18"/>
                    </w:rPr>
                  </w:pPr>
                  <w:r>
                    <w:rPr>
                      <w:rFonts w:asciiTheme="minorHAnsi" w:hAnsiTheme="minorHAnsi" w:cstheme="minorHAnsi"/>
                      <w:szCs w:val="18"/>
                    </w:rPr>
                    <w:t>45</w:t>
                  </w:r>
                </w:p>
              </w:tc>
            </w:tr>
            <w:tr w:rsidR="002D7154" w:rsidRPr="004578C7" w14:paraId="190D8409" w14:textId="77777777" w:rsidTr="00667242">
              <w:trPr>
                <w:trHeight w:val="44"/>
              </w:trPr>
              <w:tc>
                <w:tcPr>
                  <w:tcW w:w="969" w:type="pct"/>
                  <w:tcBorders>
                    <w:top w:val="single" w:sz="12" w:space="0" w:color="auto"/>
                    <w:bottom w:val="single" w:sz="4" w:space="0" w:color="auto"/>
                  </w:tcBorders>
                </w:tcPr>
                <w:p w14:paraId="6D4D394D" w14:textId="77777777" w:rsidR="00667242" w:rsidRPr="004578C7" w:rsidRDefault="00667242" w:rsidP="00667242">
                  <w:pPr>
                    <w:pStyle w:val="TableText"/>
                    <w:spacing w:before="50" w:after="50"/>
                    <w:ind w:firstLine="459"/>
                    <w:rPr>
                      <w:rFonts w:asciiTheme="minorHAnsi" w:hAnsiTheme="minorHAnsi" w:cstheme="minorHAnsi"/>
                      <w:szCs w:val="18"/>
                    </w:rPr>
                  </w:pPr>
                  <w:r w:rsidRPr="004578C7">
                    <w:rPr>
                      <w:rFonts w:asciiTheme="minorHAnsi" w:hAnsiTheme="minorHAnsi" w:cstheme="minorHAnsi"/>
                      <w:szCs w:val="18"/>
                    </w:rPr>
                    <w:t>99</w:t>
                  </w:r>
                </w:p>
              </w:tc>
              <w:tc>
                <w:tcPr>
                  <w:tcW w:w="969" w:type="pct"/>
                  <w:tcBorders>
                    <w:top w:val="single" w:sz="12" w:space="0" w:color="auto"/>
                    <w:bottom w:val="single" w:sz="4" w:space="0" w:color="auto"/>
                  </w:tcBorders>
                </w:tcPr>
                <w:p w14:paraId="469C300A" w14:textId="77777777" w:rsidR="00667242" w:rsidRPr="004578C7" w:rsidRDefault="00667242" w:rsidP="00667242">
                  <w:pPr>
                    <w:pStyle w:val="TableText"/>
                    <w:spacing w:before="50" w:after="50"/>
                    <w:ind w:right="457"/>
                    <w:jc w:val="right"/>
                    <w:rPr>
                      <w:rFonts w:asciiTheme="minorHAnsi" w:hAnsiTheme="minorHAnsi" w:cstheme="minorHAnsi"/>
                      <w:szCs w:val="18"/>
                    </w:rPr>
                  </w:pPr>
                  <w:r w:rsidRPr="004578C7">
                    <w:rPr>
                      <w:rFonts w:asciiTheme="minorHAnsi" w:hAnsiTheme="minorHAnsi" w:cstheme="minorHAnsi"/>
                      <w:szCs w:val="18"/>
                    </w:rPr>
                    <w:t>0.12</w:t>
                  </w:r>
                </w:p>
              </w:tc>
              <w:tc>
                <w:tcPr>
                  <w:tcW w:w="970" w:type="pct"/>
                  <w:tcBorders>
                    <w:top w:val="single" w:sz="12" w:space="0" w:color="auto"/>
                    <w:bottom w:val="single" w:sz="4" w:space="0" w:color="auto"/>
                  </w:tcBorders>
                </w:tcPr>
                <w:p w14:paraId="70EBDB9A" w14:textId="77777777" w:rsidR="00667242" w:rsidRPr="00667242" w:rsidRDefault="00667242" w:rsidP="00667242">
                  <w:pPr>
                    <w:pStyle w:val="TableText"/>
                    <w:spacing w:before="50" w:after="50"/>
                    <w:ind w:right="457"/>
                    <w:jc w:val="right"/>
                    <w:rPr>
                      <w:rFonts w:asciiTheme="minorHAnsi" w:hAnsiTheme="minorHAnsi" w:cstheme="minorHAnsi"/>
                      <w:szCs w:val="18"/>
                    </w:rPr>
                  </w:pPr>
                  <w:r w:rsidRPr="00667242">
                    <w:rPr>
                      <w:rFonts w:asciiTheme="minorHAnsi" w:hAnsiTheme="minorHAnsi" w:cstheme="minorHAnsi"/>
                      <w:szCs w:val="18"/>
                    </w:rPr>
                    <w:t>0.08</w:t>
                  </w:r>
                </w:p>
              </w:tc>
              <w:tc>
                <w:tcPr>
                  <w:tcW w:w="1119" w:type="pct"/>
                  <w:tcBorders>
                    <w:top w:val="single" w:sz="12" w:space="0" w:color="auto"/>
                    <w:bottom w:val="single" w:sz="4" w:space="0" w:color="auto"/>
                  </w:tcBorders>
                </w:tcPr>
                <w:p w14:paraId="23549956" w14:textId="3E046C39" w:rsidR="00667242" w:rsidRPr="00667242" w:rsidRDefault="00667242" w:rsidP="00667242">
                  <w:pPr>
                    <w:pStyle w:val="TableText"/>
                    <w:spacing w:before="50" w:after="50"/>
                    <w:ind w:right="457"/>
                    <w:jc w:val="right"/>
                    <w:rPr>
                      <w:rFonts w:asciiTheme="minorHAnsi" w:hAnsiTheme="minorHAnsi" w:cstheme="minorHAnsi"/>
                      <w:szCs w:val="18"/>
                    </w:rPr>
                  </w:pPr>
                  <w:r w:rsidRPr="009B1441">
                    <w:rPr>
                      <w:rFonts w:cstheme="minorHAnsi"/>
                      <w:szCs w:val="18"/>
                    </w:rPr>
                    <w:t>0.19</w:t>
                  </w:r>
                </w:p>
              </w:tc>
              <w:tc>
                <w:tcPr>
                  <w:tcW w:w="973" w:type="pct"/>
                  <w:tcBorders>
                    <w:top w:val="single" w:sz="12" w:space="0" w:color="auto"/>
                    <w:bottom w:val="single" w:sz="4" w:space="0" w:color="auto"/>
                  </w:tcBorders>
                </w:tcPr>
                <w:p w14:paraId="7F8B2B6A" w14:textId="69521BB1" w:rsidR="00667242" w:rsidRPr="00667242" w:rsidRDefault="00667242" w:rsidP="00667242">
                  <w:pPr>
                    <w:pStyle w:val="TableText"/>
                    <w:spacing w:before="50" w:after="50"/>
                    <w:ind w:right="457"/>
                    <w:jc w:val="right"/>
                    <w:rPr>
                      <w:rFonts w:asciiTheme="minorHAnsi" w:hAnsiTheme="minorHAnsi" w:cstheme="minorHAnsi"/>
                      <w:szCs w:val="18"/>
                    </w:rPr>
                  </w:pPr>
                  <w:r w:rsidRPr="00EA3A3E">
                    <w:rPr>
                      <w:rFonts w:cstheme="minorHAnsi"/>
                      <w:szCs w:val="18"/>
                    </w:rPr>
                    <w:t>0.20</w:t>
                  </w:r>
                </w:p>
              </w:tc>
            </w:tr>
            <w:tr w:rsidR="002D7154" w:rsidRPr="004578C7" w14:paraId="7B665DB1" w14:textId="77777777" w:rsidTr="00667242">
              <w:trPr>
                <w:trHeight w:val="284"/>
              </w:trPr>
              <w:tc>
                <w:tcPr>
                  <w:tcW w:w="969" w:type="pct"/>
                  <w:tcBorders>
                    <w:top w:val="single" w:sz="4" w:space="0" w:color="auto"/>
                    <w:bottom w:val="single" w:sz="4" w:space="0" w:color="auto"/>
                  </w:tcBorders>
                </w:tcPr>
                <w:p w14:paraId="368F10EE" w14:textId="77777777" w:rsidR="00667242" w:rsidRPr="004578C7" w:rsidRDefault="00667242" w:rsidP="00667242">
                  <w:pPr>
                    <w:pStyle w:val="TableText"/>
                    <w:spacing w:before="50" w:after="50"/>
                    <w:ind w:firstLine="459"/>
                    <w:rPr>
                      <w:rFonts w:asciiTheme="minorHAnsi" w:hAnsiTheme="minorHAnsi" w:cstheme="minorHAnsi"/>
                      <w:szCs w:val="18"/>
                    </w:rPr>
                  </w:pPr>
                  <w:r w:rsidRPr="004578C7">
                    <w:rPr>
                      <w:rFonts w:asciiTheme="minorHAnsi" w:hAnsiTheme="minorHAnsi" w:cstheme="minorHAnsi"/>
                      <w:szCs w:val="18"/>
                    </w:rPr>
                    <w:lastRenderedPageBreak/>
                    <w:t>95</w:t>
                  </w:r>
                </w:p>
              </w:tc>
              <w:tc>
                <w:tcPr>
                  <w:tcW w:w="969" w:type="pct"/>
                  <w:tcBorders>
                    <w:top w:val="single" w:sz="4" w:space="0" w:color="auto"/>
                    <w:bottom w:val="single" w:sz="4" w:space="0" w:color="auto"/>
                  </w:tcBorders>
                </w:tcPr>
                <w:p w14:paraId="29895520" w14:textId="77777777" w:rsidR="00667242" w:rsidRPr="004578C7" w:rsidRDefault="00667242" w:rsidP="00667242">
                  <w:pPr>
                    <w:pStyle w:val="TableText"/>
                    <w:spacing w:before="50" w:after="50"/>
                    <w:ind w:right="457"/>
                    <w:jc w:val="right"/>
                    <w:rPr>
                      <w:rFonts w:asciiTheme="minorHAnsi" w:hAnsiTheme="minorHAnsi" w:cstheme="minorHAnsi"/>
                      <w:szCs w:val="18"/>
                    </w:rPr>
                  </w:pPr>
                  <w:r w:rsidRPr="004578C7">
                    <w:rPr>
                      <w:rFonts w:asciiTheme="minorHAnsi" w:hAnsiTheme="minorHAnsi" w:cstheme="minorHAnsi"/>
                      <w:szCs w:val="18"/>
                    </w:rPr>
                    <w:t>0.40</w:t>
                  </w:r>
                </w:p>
              </w:tc>
              <w:tc>
                <w:tcPr>
                  <w:tcW w:w="970" w:type="pct"/>
                  <w:tcBorders>
                    <w:top w:val="single" w:sz="4" w:space="0" w:color="auto"/>
                    <w:bottom w:val="single" w:sz="4" w:space="0" w:color="auto"/>
                  </w:tcBorders>
                </w:tcPr>
                <w:p w14:paraId="14937E3A" w14:textId="77777777" w:rsidR="00667242" w:rsidRPr="00667242" w:rsidRDefault="00667242" w:rsidP="00667242">
                  <w:pPr>
                    <w:pStyle w:val="TableText"/>
                    <w:spacing w:before="50" w:after="50"/>
                    <w:ind w:right="457"/>
                    <w:jc w:val="right"/>
                    <w:rPr>
                      <w:rFonts w:asciiTheme="minorHAnsi" w:hAnsiTheme="minorHAnsi" w:cstheme="minorHAnsi"/>
                      <w:szCs w:val="18"/>
                    </w:rPr>
                  </w:pPr>
                  <w:r w:rsidRPr="00667242">
                    <w:rPr>
                      <w:rFonts w:asciiTheme="minorHAnsi" w:hAnsiTheme="minorHAnsi" w:cstheme="minorHAnsi"/>
                      <w:szCs w:val="18"/>
                    </w:rPr>
                    <w:t>0.39</w:t>
                  </w:r>
                </w:p>
              </w:tc>
              <w:tc>
                <w:tcPr>
                  <w:tcW w:w="1119" w:type="pct"/>
                  <w:tcBorders>
                    <w:top w:val="single" w:sz="4" w:space="0" w:color="auto"/>
                    <w:bottom w:val="single" w:sz="4" w:space="0" w:color="auto"/>
                  </w:tcBorders>
                </w:tcPr>
                <w:p w14:paraId="795E2320" w14:textId="6700C430" w:rsidR="00667242" w:rsidRPr="00667242" w:rsidRDefault="00667242" w:rsidP="00667242">
                  <w:pPr>
                    <w:pStyle w:val="TableText"/>
                    <w:spacing w:before="50" w:after="50"/>
                    <w:ind w:right="457"/>
                    <w:jc w:val="right"/>
                    <w:rPr>
                      <w:rFonts w:asciiTheme="minorHAnsi" w:hAnsiTheme="minorHAnsi" w:cstheme="minorHAnsi"/>
                      <w:szCs w:val="18"/>
                    </w:rPr>
                  </w:pPr>
                  <w:r w:rsidRPr="009B1441">
                    <w:rPr>
                      <w:rFonts w:cstheme="minorHAnsi"/>
                      <w:szCs w:val="18"/>
                    </w:rPr>
                    <w:t>0.55</w:t>
                  </w:r>
                </w:p>
              </w:tc>
              <w:tc>
                <w:tcPr>
                  <w:tcW w:w="973" w:type="pct"/>
                  <w:tcBorders>
                    <w:top w:val="single" w:sz="4" w:space="0" w:color="auto"/>
                    <w:bottom w:val="single" w:sz="4" w:space="0" w:color="auto"/>
                  </w:tcBorders>
                </w:tcPr>
                <w:p w14:paraId="2B767B56" w14:textId="27161BD5" w:rsidR="00667242" w:rsidRPr="00667242" w:rsidRDefault="00667242" w:rsidP="00667242">
                  <w:pPr>
                    <w:pStyle w:val="TableText"/>
                    <w:spacing w:before="50" w:after="50"/>
                    <w:ind w:right="457"/>
                    <w:jc w:val="right"/>
                    <w:rPr>
                      <w:rFonts w:asciiTheme="minorHAnsi" w:hAnsiTheme="minorHAnsi" w:cstheme="minorHAnsi"/>
                      <w:szCs w:val="18"/>
                    </w:rPr>
                  </w:pPr>
                  <w:r w:rsidRPr="00EA3A3E">
                    <w:rPr>
                      <w:rFonts w:cstheme="minorHAnsi"/>
                      <w:szCs w:val="18"/>
                    </w:rPr>
                    <w:t>0.59</w:t>
                  </w:r>
                </w:p>
              </w:tc>
            </w:tr>
            <w:tr w:rsidR="002D7154" w:rsidRPr="004578C7" w14:paraId="113F3762" w14:textId="77777777" w:rsidTr="00667242">
              <w:trPr>
                <w:trHeight w:val="284"/>
              </w:trPr>
              <w:tc>
                <w:tcPr>
                  <w:tcW w:w="969" w:type="pct"/>
                  <w:tcBorders>
                    <w:top w:val="single" w:sz="4" w:space="0" w:color="auto"/>
                    <w:bottom w:val="single" w:sz="4" w:space="0" w:color="auto"/>
                  </w:tcBorders>
                </w:tcPr>
                <w:p w14:paraId="21254C22" w14:textId="77777777" w:rsidR="00667242" w:rsidRPr="004578C7" w:rsidRDefault="00667242" w:rsidP="00667242">
                  <w:pPr>
                    <w:pStyle w:val="TableText"/>
                    <w:spacing w:before="50" w:after="50"/>
                    <w:ind w:firstLine="459"/>
                    <w:rPr>
                      <w:rFonts w:asciiTheme="minorHAnsi" w:hAnsiTheme="minorHAnsi" w:cstheme="minorHAnsi"/>
                      <w:szCs w:val="18"/>
                    </w:rPr>
                  </w:pPr>
                  <w:r w:rsidRPr="004578C7">
                    <w:rPr>
                      <w:rFonts w:asciiTheme="minorHAnsi" w:hAnsiTheme="minorHAnsi" w:cstheme="minorHAnsi"/>
                      <w:szCs w:val="18"/>
                    </w:rPr>
                    <w:t>90</w:t>
                  </w:r>
                </w:p>
              </w:tc>
              <w:tc>
                <w:tcPr>
                  <w:tcW w:w="969" w:type="pct"/>
                  <w:tcBorders>
                    <w:top w:val="single" w:sz="4" w:space="0" w:color="auto"/>
                    <w:bottom w:val="single" w:sz="4" w:space="0" w:color="auto"/>
                  </w:tcBorders>
                </w:tcPr>
                <w:p w14:paraId="2EE67F82" w14:textId="77777777" w:rsidR="00667242" w:rsidRPr="004578C7" w:rsidRDefault="00667242" w:rsidP="00667242">
                  <w:pPr>
                    <w:pStyle w:val="TableText"/>
                    <w:spacing w:before="50" w:after="50"/>
                    <w:ind w:right="457"/>
                    <w:jc w:val="right"/>
                    <w:rPr>
                      <w:rFonts w:asciiTheme="minorHAnsi" w:hAnsiTheme="minorHAnsi" w:cstheme="minorHAnsi"/>
                      <w:szCs w:val="18"/>
                    </w:rPr>
                  </w:pPr>
                  <w:r w:rsidRPr="004578C7">
                    <w:rPr>
                      <w:rFonts w:asciiTheme="minorHAnsi" w:hAnsiTheme="minorHAnsi" w:cstheme="minorHAnsi"/>
                      <w:szCs w:val="18"/>
                    </w:rPr>
                    <w:t>0.72</w:t>
                  </w:r>
                </w:p>
              </w:tc>
              <w:tc>
                <w:tcPr>
                  <w:tcW w:w="970" w:type="pct"/>
                  <w:tcBorders>
                    <w:top w:val="single" w:sz="4" w:space="0" w:color="auto"/>
                    <w:bottom w:val="single" w:sz="4" w:space="0" w:color="auto"/>
                  </w:tcBorders>
                </w:tcPr>
                <w:p w14:paraId="5BB658D2" w14:textId="77777777" w:rsidR="00667242" w:rsidRPr="00667242" w:rsidRDefault="00667242" w:rsidP="00667242">
                  <w:pPr>
                    <w:pStyle w:val="TableText"/>
                    <w:spacing w:before="50" w:after="50"/>
                    <w:ind w:right="457"/>
                    <w:jc w:val="right"/>
                    <w:rPr>
                      <w:rFonts w:asciiTheme="minorHAnsi" w:hAnsiTheme="minorHAnsi" w:cstheme="minorHAnsi"/>
                      <w:szCs w:val="18"/>
                    </w:rPr>
                  </w:pPr>
                  <w:r w:rsidRPr="00667242">
                    <w:rPr>
                      <w:rFonts w:asciiTheme="minorHAnsi" w:hAnsiTheme="minorHAnsi" w:cstheme="minorHAnsi"/>
                      <w:szCs w:val="18"/>
                    </w:rPr>
                    <w:t>0.81</w:t>
                  </w:r>
                </w:p>
              </w:tc>
              <w:tc>
                <w:tcPr>
                  <w:tcW w:w="1119" w:type="pct"/>
                  <w:tcBorders>
                    <w:top w:val="single" w:sz="4" w:space="0" w:color="auto"/>
                    <w:bottom w:val="single" w:sz="4" w:space="0" w:color="auto"/>
                  </w:tcBorders>
                </w:tcPr>
                <w:p w14:paraId="7D7A4BC6" w14:textId="6964F21F" w:rsidR="00667242" w:rsidRPr="00667242" w:rsidRDefault="00667242" w:rsidP="00667242">
                  <w:pPr>
                    <w:pStyle w:val="TableText"/>
                    <w:spacing w:before="50" w:after="50"/>
                    <w:ind w:right="457"/>
                    <w:jc w:val="right"/>
                    <w:rPr>
                      <w:rFonts w:asciiTheme="minorHAnsi" w:hAnsiTheme="minorHAnsi" w:cstheme="minorHAnsi"/>
                      <w:szCs w:val="18"/>
                    </w:rPr>
                  </w:pPr>
                  <w:r w:rsidRPr="009B1441">
                    <w:rPr>
                      <w:rFonts w:cstheme="minorHAnsi"/>
                      <w:szCs w:val="18"/>
                    </w:rPr>
                    <w:t>0.91</w:t>
                  </w:r>
                </w:p>
              </w:tc>
              <w:tc>
                <w:tcPr>
                  <w:tcW w:w="973" w:type="pct"/>
                  <w:tcBorders>
                    <w:top w:val="single" w:sz="4" w:space="0" w:color="auto"/>
                    <w:bottom w:val="single" w:sz="4" w:space="0" w:color="auto"/>
                  </w:tcBorders>
                </w:tcPr>
                <w:p w14:paraId="57B9E2D0" w14:textId="219DC64F" w:rsidR="00667242" w:rsidRPr="00667242" w:rsidRDefault="00667242" w:rsidP="00667242">
                  <w:pPr>
                    <w:pStyle w:val="TableText"/>
                    <w:spacing w:before="50" w:after="50"/>
                    <w:ind w:right="457"/>
                    <w:jc w:val="right"/>
                    <w:rPr>
                      <w:rFonts w:asciiTheme="minorHAnsi" w:hAnsiTheme="minorHAnsi" w:cstheme="minorHAnsi"/>
                      <w:szCs w:val="18"/>
                    </w:rPr>
                  </w:pPr>
                  <w:r w:rsidRPr="00EA3A3E">
                    <w:rPr>
                      <w:rFonts w:cstheme="minorHAnsi"/>
                      <w:szCs w:val="18"/>
                    </w:rPr>
                    <w:t>0.97</w:t>
                  </w:r>
                </w:p>
              </w:tc>
            </w:tr>
            <w:tr w:rsidR="002D7154" w:rsidRPr="004578C7" w14:paraId="62F3FABB" w14:textId="77777777" w:rsidTr="00667242">
              <w:trPr>
                <w:trHeight w:val="64"/>
              </w:trPr>
              <w:tc>
                <w:tcPr>
                  <w:tcW w:w="969" w:type="pct"/>
                  <w:tcBorders>
                    <w:top w:val="single" w:sz="4" w:space="0" w:color="auto"/>
                    <w:bottom w:val="single" w:sz="12" w:space="0" w:color="auto"/>
                  </w:tcBorders>
                </w:tcPr>
                <w:p w14:paraId="413C5AB5" w14:textId="77777777" w:rsidR="00667242" w:rsidRPr="004578C7" w:rsidRDefault="00667242" w:rsidP="00667242">
                  <w:pPr>
                    <w:pStyle w:val="TableText"/>
                    <w:spacing w:before="50" w:after="50"/>
                    <w:ind w:firstLine="459"/>
                    <w:rPr>
                      <w:rFonts w:asciiTheme="minorHAnsi" w:hAnsiTheme="minorHAnsi" w:cstheme="minorHAnsi"/>
                      <w:szCs w:val="18"/>
                    </w:rPr>
                  </w:pPr>
                  <w:r w:rsidRPr="004578C7">
                    <w:rPr>
                      <w:rFonts w:asciiTheme="minorHAnsi" w:hAnsiTheme="minorHAnsi" w:cstheme="minorHAnsi"/>
                      <w:szCs w:val="18"/>
                    </w:rPr>
                    <w:t>80</w:t>
                  </w:r>
                </w:p>
              </w:tc>
              <w:tc>
                <w:tcPr>
                  <w:tcW w:w="969" w:type="pct"/>
                  <w:tcBorders>
                    <w:top w:val="single" w:sz="4" w:space="0" w:color="auto"/>
                    <w:bottom w:val="single" w:sz="12" w:space="0" w:color="auto"/>
                  </w:tcBorders>
                </w:tcPr>
                <w:p w14:paraId="43709CC2" w14:textId="77777777" w:rsidR="00667242" w:rsidRPr="004578C7" w:rsidRDefault="00667242" w:rsidP="00667242">
                  <w:pPr>
                    <w:pStyle w:val="TableText"/>
                    <w:spacing w:before="50" w:after="50"/>
                    <w:ind w:right="457"/>
                    <w:jc w:val="right"/>
                    <w:rPr>
                      <w:rFonts w:asciiTheme="minorHAnsi" w:hAnsiTheme="minorHAnsi" w:cstheme="minorHAnsi"/>
                      <w:szCs w:val="18"/>
                    </w:rPr>
                  </w:pPr>
                  <w:r w:rsidRPr="004578C7">
                    <w:rPr>
                      <w:rFonts w:asciiTheme="minorHAnsi" w:hAnsiTheme="minorHAnsi" w:cstheme="minorHAnsi"/>
                      <w:szCs w:val="18"/>
                    </w:rPr>
                    <w:t>1.4</w:t>
                  </w:r>
                </w:p>
              </w:tc>
              <w:tc>
                <w:tcPr>
                  <w:tcW w:w="970" w:type="pct"/>
                  <w:tcBorders>
                    <w:top w:val="single" w:sz="4" w:space="0" w:color="auto"/>
                    <w:bottom w:val="single" w:sz="12" w:space="0" w:color="auto"/>
                  </w:tcBorders>
                </w:tcPr>
                <w:p w14:paraId="523A917F" w14:textId="77777777" w:rsidR="00667242" w:rsidRPr="00667242" w:rsidRDefault="00667242" w:rsidP="00667242">
                  <w:pPr>
                    <w:pStyle w:val="TableText"/>
                    <w:spacing w:before="50" w:after="50"/>
                    <w:ind w:right="457"/>
                    <w:jc w:val="right"/>
                    <w:rPr>
                      <w:rFonts w:asciiTheme="minorHAnsi" w:hAnsiTheme="minorHAnsi" w:cstheme="minorHAnsi"/>
                      <w:szCs w:val="18"/>
                    </w:rPr>
                  </w:pPr>
                  <w:r w:rsidRPr="00667242">
                    <w:rPr>
                      <w:rFonts w:asciiTheme="minorHAnsi" w:hAnsiTheme="minorHAnsi" w:cstheme="minorHAnsi"/>
                      <w:szCs w:val="18"/>
                    </w:rPr>
                    <w:t>1.8</w:t>
                  </w:r>
                </w:p>
              </w:tc>
              <w:tc>
                <w:tcPr>
                  <w:tcW w:w="1119" w:type="pct"/>
                  <w:tcBorders>
                    <w:top w:val="single" w:sz="4" w:space="0" w:color="auto"/>
                    <w:bottom w:val="single" w:sz="12" w:space="0" w:color="auto"/>
                  </w:tcBorders>
                </w:tcPr>
                <w:p w14:paraId="2BEC98DE" w14:textId="6326A2EE" w:rsidR="00667242" w:rsidRPr="00667242" w:rsidRDefault="00667242" w:rsidP="00667242">
                  <w:pPr>
                    <w:pStyle w:val="TableText"/>
                    <w:spacing w:before="50" w:after="50"/>
                    <w:ind w:right="457"/>
                    <w:jc w:val="right"/>
                    <w:rPr>
                      <w:rFonts w:asciiTheme="minorHAnsi" w:hAnsiTheme="minorHAnsi" w:cstheme="minorHAnsi"/>
                      <w:szCs w:val="18"/>
                    </w:rPr>
                  </w:pPr>
                  <w:r w:rsidRPr="009B1441">
                    <w:rPr>
                      <w:rFonts w:cstheme="minorHAnsi"/>
                      <w:szCs w:val="18"/>
                    </w:rPr>
                    <w:t>1.60</w:t>
                  </w:r>
                </w:p>
              </w:tc>
              <w:tc>
                <w:tcPr>
                  <w:tcW w:w="973" w:type="pct"/>
                  <w:tcBorders>
                    <w:top w:val="single" w:sz="4" w:space="0" w:color="auto"/>
                    <w:bottom w:val="single" w:sz="12" w:space="0" w:color="auto"/>
                  </w:tcBorders>
                </w:tcPr>
                <w:p w14:paraId="2EB14D6C" w14:textId="32AB8C7C" w:rsidR="00667242" w:rsidRPr="00667242" w:rsidRDefault="00667242" w:rsidP="00667242">
                  <w:pPr>
                    <w:pStyle w:val="TableText"/>
                    <w:spacing w:before="50" w:after="50"/>
                    <w:ind w:right="457"/>
                    <w:jc w:val="right"/>
                    <w:rPr>
                      <w:rFonts w:asciiTheme="minorHAnsi" w:hAnsiTheme="minorHAnsi" w:cstheme="minorHAnsi"/>
                      <w:szCs w:val="18"/>
                    </w:rPr>
                  </w:pPr>
                  <w:r w:rsidRPr="00EA3A3E">
                    <w:rPr>
                      <w:rFonts w:cstheme="minorHAnsi"/>
                      <w:szCs w:val="18"/>
                    </w:rPr>
                    <w:t>1.70</w:t>
                  </w:r>
                </w:p>
              </w:tc>
            </w:tr>
          </w:tbl>
          <w:p w14:paraId="2F19274C" w14:textId="171CEB93" w:rsidR="00E6545C" w:rsidRDefault="002D7154" w:rsidP="0028006E">
            <w:pPr>
              <w:spacing w:before="60" w:after="60" w:line="240" w:lineRule="auto"/>
              <w:rPr>
                <w:iCs/>
                <w:sz w:val="18"/>
                <w:szCs w:val="18"/>
              </w:rPr>
            </w:pPr>
            <w:r>
              <w:rPr>
                <w:iCs/>
                <w:noProof/>
                <w:sz w:val="18"/>
                <w:szCs w:val="18"/>
              </w:rPr>
              <w:drawing>
                <wp:inline distT="0" distB="0" distL="0" distR="0" wp14:anchorId="4B861FF2" wp14:editId="3D0BE06D">
                  <wp:extent cx="3723359" cy="3191773"/>
                  <wp:effectExtent l="0" t="0" r="0" b="8890"/>
                  <wp:docPr id="676013932" name="Picture 2" descr="the plot represent the original toxicity dataset, the 99% species protection value decreases slightly while the 80% species protection value increases (compared to the dataset with converted NOEC data) due to a slightly different shape of the model fit through the toxicity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13932" name="Picture 2" descr="the plot represent the original toxicity dataset, the 99% species protection value decreases slightly while the 80% species protection value increases (compared to the dataset with converted NOEC data) due to a slightly different shape of the model fit through the toxicity data "/>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39504" cy="3205613"/>
                          </a:xfrm>
                          <a:prstGeom prst="rect">
                            <a:avLst/>
                          </a:prstGeom>
                        </pic:spPr>
                      </pic:pic>
                    </a:graphicData>
                  </a:graphic>
                </wp:inline>
              </w:drawing>
            </w:r>
          </w:p>
          <w:p w14:paraId="2DBF00E7" w14:textId="75FF9987" w:rsidR="00E6545C" w:rsidRDefault="00E6545C" w:rsidP="0028006E">
            <w:pPr>
              <w:spacing w:before="60" w:after="60" w:line="240" w:lineRule="auto"/>
              <w:rPr>
                <w:iCs/>
                <w:sz w:val="18"/>
                <w:szCs w:val="18"/>
              </w:rPr>
            </w:pPr>
          </w:p>
          <w:p w14:paraId="56D44EFC" w14:textId="532D7680" w:rsidR="002E0905" w:rsidRDefault="002E0905" w:rsidP="0028006E">
            <w:pPr>
              <w:spacing w:before="60" w:after="60" w:line="240" w:lineRule="auto"/>
              <w:rPr>
                <w:iCs/>
                <w:sz w:val="18"/>
                <w:szCs w:val="18"/>
              </w:rPr>
            </w:pPr>
            <w:r>
              <w:rPr>
                <w:iCs/>
                <w:sz w:val="18"/>
                <w:szCs w:val="18"/>
              </w:rPr>
              <w:t xml:space="preserve">Black = new DGV data set, with </w:t>
            </w:r>
            <w:r w:rsidR="002D7154">
              <w:rPr>
                <w:iCs/>
                <w:sz w:val="18"/>
                <w:szCs w:val="18"/>
              </w:rPr>
              <w:t>2</w:t>
            </w:r>
            <w:r>
              <w:rPr>
                <w:iCs/>
                <w:sz w:val="18"/>
                <w:szCs w:val="18"/>
              </w:rPr>
              <w:t>x converted NOEC data values</w:t>
            </w:r>
          </w:p>
          <w:p w14:paraId="13A01541" w14:textId="5297F156" w:rsidR="00E6545C" w:rsidRDefault="002E0905" w:rsidP="0028006E">
            <w:pPr>
              <w:spacing w:before="60" w:after="60" w:line="240" w:lineRule="auto"/>
              <w:rPr>
                <w:iCs/>
                <w:sz w:val="18"/>
                <w:szCs w:val="18"/>
              </w:rPr>
            </w:pPr>
            <w:r>
              <w:rPr>
                <w:iCs/>
                <w:sz w:val="18"/>
                <w:szCs w:val="18"/>
              </w:rPr>
              <w:t xml:space="preserve">Green = new DGV data set, with </w:t>
            </w:r>
            <w:r w:rsidR="002D7154">
              <w:rPr>
                <w:iCs/>
                <w:sz w:val="18"/>
                <w:szCs w:val="18"/>
              </w:rPr>
              <w:t>2</w:t>
            </w:r>
            <w:r>
              <w:rPr>
                <w:iCs/>
                <w:sz w:val="18"/>
                <w:szCs w:val="18"/>
              </w:rPr>
              <w:t xml:space="preserve">x </w:t>
            </w:r>
            <w:r w:rsidR="000F27C3">
              <w:rPr>
                <w:iCs/>
                <w:sz w:val="18"/>
                <w:szCs w:val="18"/>
              </w:rPr>
              <w:t>values set at the &lt;NOEC value</w:t>
            </w:r>
            <w:r>
              <w:rPr>
                <w:iCs/>
                <w:sz w:val="18"/>
                <w:szCs w:val="18"/>
              </w:rPr>
              <w:t xml:space="preserve"> </w:t>
            </w:r>
          </w:p>
          <w:p w14:paraId="783902C1" w14:textId="0049489A" w:rsidR="002262C5" w:rsidRPr="004A7EDD" w:rsidRDefault="002262C5" w:rsidP="0028006E">
            <w:pPr>
              <w:spacing w:before="60" w:after="60" w:line="240" w:lineRule="auto"/>
              <w:rPr>
                <w:iCs/>
                <w:sz w:val="18"/>
                <w:szCs w:val="18"/>
              </w:rPr>
            </w:pPr>
          </w:p>
        </w:tc>
        <w:tc>
          <w:tcPr>
            <w:tcW w:w="3118" w:type="dxa"/>
            <w:tcBorders>
              <w:top w:val="single" w:sz="4" w:space="0" w:color="auto"/>
              <w:left w:val="single" w:sz="4" w:space="0" w:color="auto"/>
              <w:bottom w:val="single" w:sz="4" w:space="0" w:color="auto"/>
              <w:right w:val="single" w:sz="4" w:space="0" w:color="auto"/>
            </w:tcBorders>
          </w:tcPr>
          <w:p w14:paraId="3E2B923C" w14:textId="48AB0E9F" w:rsidR="0028006E" w:rsidRPr="004A7EDD" w:rsidRDefault="002D3F4D" w:rsidP="0028006E">
            <w:pPr>
              <w:spacing w:before="60" w:after="60" w:line="280" w:lineRule="atLeast"/>
              <w:rPr>
                <w:sz w:val="18"/>
                <w:szCs w:val="18"/>
              </w:rPr>
            </w:pPr>
            <w:r>
              <w:rPr>
                <w:sz w:val="18"/>
                <w:szCs w:val="18"/>
              </w:rPr>
              <w:lastRenderedPageBreak/>
              <w:t>A sensitivity assessment section has been added as an appendix to the DGV technical brief</w:t>
            </w:r>
            <w:r w:rsidR="000C46FD">
              <w:rPr>
                <w:sz w:val="18"/>
                <w:szCs w:val="18"/>
              </w:rPr>
              <w:t>,</w:t>
            </w:r>
            <w:r>
              <w:rPr>
                <w:sz w:val="18"/>
                <w:szCs w:val="18"/>
              </w:rPr>
              <w:t xml:space="preserve"> which includes this information; and reference to that appendix has been added to </w:t>
            </w:r>
            <w:r w:rsidR="000A485B">
              <w:rPr>
                <w:sz w:val="18"/>
                <w:szCs w:val="18"/>
              </w:rPr>
              <w:t>Section 4.2</w:t>
            </w:r>
            <w:r>
              <w:rPr>
                <w:sz w:val="18"/>
                <w:szCs w:val="18"/>
              </w:rPr>
              <w:t>.</w:t>
            </w:r>
          </w:p>
        </w:tc>
      </w:tr>
      <w:tr w:rsidR="0028006E" w14:paraId="0BC13BFA" w14:textId="77777777" w:rsidTr="004A7EDD">
        <w:tc>
          <w:tcPr>
            <w:tcW w:w="4673" w:type="dxa"/>
            <w:tcBorders>
              <w:top w:val="single" w:sz="4" w:space="0" w:color="auto"/>
              <w:left w:val="single" w:sz="4" w:space="0" w:color="auto"/>
              <w:bottom w:val="single" w:sz="4" w:space="0" w:color="auto"/>
              <w:right w:val="single" w:sz="4" w:space="0" w:color="auto"/>
            </w:tcBorders>
          </w:tcPr>
          <w:p w14:paraId="73637DDE" w14:textId="54FAD793" w:rsidR="0028006E" w:rsidRPr="00D62FEF" w:rsidRDefault="00022CF2" w:rsidP="00D62FEF">
            <w:pPr>
              <w:pStyle w:val="ListParagraph"/>
              <w:numPr>
                <w:ilvl w:val="0"/>
                <w:numId w:val="22"/>
              </w:numPr>
              <w:spacing w:before="60" w:after="60"/>
              <w:rPr>
                <w:bCs/>
                <w:sz w:val="18"/>
                <w:szCs w:val="18"/>
              </w:rPr>
            </w:pPr>
            <w:r w:rsidRPr="00D62FEF">
              <w:rPr>
                <w:bCs/>
                <w:sz w:val="18"/>
                <w:szCs w:val="18"/>
              </w:rPr>
              <w:t xml:space="preserve">The conduction of modality and taxa-specific sensitivity assessments that does not account for </w:t>
            </w:r>
            <w:r w:rsidRPr="00D62FEF">
              <w:rPr>
                <w:bCs/>
                <w:sz w:val="18"/>
                <w:szCs w:val="18"/>
              </w:rPr>
              <w:lastRenderedPageBreak/>
              <w:t>the inherent variability between individual datapoints (studies) of the same species.</w:t>
            </w:r>
          </w:p>
        </w:tc>
        <w:tc>
          <w:tcPr>
            <w:tcW w:w="5954" w:type="dxa"/>
            <w:tcBorders>
              <w:top w:val="single" w:sz="4" w:space="0" w:color="auto"/>
              <w:left w:val="single" w:sz="4" w:space="0" w:color="auto"/>
              <w:bottom w:val="single" w:sz="4" w:space="0" w:color="auto"/>
              <w:right w:val="single" w:sz="4" w:space="0" w:color="auto"/>
            </w:tcBorders>
          </w:tcPr>
          <w:p w14:paraId="3D4B122B" w14:textId="29406A70" w:rsidR="00385E06" w:rsidRDefault="00385E06" w:rsidP="0028006E">
            <w:pPr>
              <w:spacing w:before="60" w:after="60" w:line="240" w:lineRule="auto"/>
              <w:rPr>
                <w:iCs/>
                <w:sz w:val="18"/>
                <w:szCs w:val="18"/>
              </w:rPr>
            </w:pPr>
            <w:r w:rsidRPr="00385E06">
              <w:rPr>
                <w:iCs/>
                <w:sz w:val="18"/>
                <w:szCs w:val="18"/>
              </w:rPr>
              <w:lastRenderedPageBreak/>
              <w:t>The modality and sensitivity assessments are not designed to address the inherent variability between data points for the same species. For toxicity values from the same species</w:t>
            </w:r>
            <w:r w:rsidR="009405B2">
              <w:rPr>
                <w:iCs/>
                <w:sz w:val="18"/>
                <w:szCs w:val="18"/>
              </w:rPr>
              <w:t xml:space="preserve">, </w:t>
            </w:r>
            <w:r w:rsidRPr="00385E06">
              <w:rPr>
                <w:iCs/>
                <w:sz w:val="18"/>
                <w:szCs w:val="18"/>
              </w:rPr>
              <w:t>endpoint</w:t>
            </w:r>
            <w:r w:rsidR="009405B2">
              <w:rPr>
                <w:iCs/>
                <w:sz w:val="18"/>
                <w:szCs w:val="18"/>
              </w:rPr>
              <w:t xml:space="preserve"> and test duration</w:t>
            </w:r>
            <w:r w:rsidRPr="00385E06">
              <w:rPr>
                <w:iCs/>
                <w:sz w:val="18"/>
                <w:szCs w:val="18"/>
              </w:rPr>
              <w:t xml:space="preserve">, we use the geometric mean of those values to deal with the inherent variability. This is an </w:t>
            </w:r>
            <w:r w:rsidRPr="00385E06">
              <w:rPr>
                <w:iCs/>
                <w:sz w:val="18"/>
                <w:szCs w:val="18"/>
              </w:rPr>
              <w:lastRenderedPageBreak/>
              <w:t>accepted way to get data that is representative of a single species</w:t>
            </w:r>
            <w:r w:rsidR="00503ED1">
              <w:rPr>
                <w:iCs/>
                <w:sz w:val="18"/>
                <w:szCs w:val="18"/>
              </w:rPr>
              <w:t xml:space="preserve"> (see </w:t>
            </w:r>
            <w:r w:rsidRPr="00385E06">
              <w:rPr>
                <w:iCs/>
                <w:sz w:val="18"/>
                <w:szCs w:val="18"/>
              </w:rPr>
              <w:t>Warne et al. (2018) for the hierarchy of selecting the toxicity data that represents a single species</w:t>
            </w:r>
            <w:r w:rsidR="00503ED1">
              <w:rPr>
                <w:iCs/>
                <w:sz w:val="18"/>
                <w:szCs w:val="18"/>
              </w:rPr>
              <w:t>)</w:t>
            </w:r>
            <w:r w:rsidRPr="00385E06">
              <w:rPr>
                <w:iCs/>
                <w:sz w:val="18"/>
                <w:szCs w:val="18"/>
              </w:rPr>
              <w:t>.</w:t>
            </w:r>
          </w:p>
          <w:p w14:paraId="405FA38E" w14:textId="13F1C624" w:rsidR="00C24FD0" w:rsidRDefault="006F2C72" w:rsidP="0028006E">
            <w:pPr>
              <w:spacing w:before="60" w:after="60" w:line="240" w:lineRule="auto"/>
              <w:rPr>
                <w:iCs/>
                <w:sz w:val="18"/>
                <w:szCs w:val="18"/>
              </w:rPr>
            </w:pPr>
            <w:r>
              <w:rPr>
                <w:iCs/>
                <w:sz w:val="18"/>
                <w:szCs w:val="18"/>
              </w:rPr>
              <w:t>A full assessment has been undertaken with the individual datapoints for each species.</w:t>
            </w:r>
            <w:r w:rsidR="00F55533">
              <w:rPr>
                <w:iCs/>
                <w:sz w:val="18"/>
                <w:szCs w:val="18"/>
              </w:rPr>
              <w:t xml:space="preserve"> </w:t>
            </w:r>
          </w:p>
          <w:p w14:paraId="2F2FD5B6" w14:textId="77777777" w:rsidR="00C24FD0" w:rsidRDefault="00C24FD0" w:rsidP="0028006E">
            <w:pPr>
              <w:spacing w:before="60" w:after="60" w:line="240" w:lineRule="auto"/>
              <w:rPr>
                <w:iCs/>
                <w:sz w:val="18"/>
                <w:szCs w:val="18"/>
              </w:rPr>
            </w:pPr>
            <w:r>
              <w:rPr>
                <w:iCs/>
                <w:sz w:val="18"/>
                <w:szCs w:val="18"/>
              </w:rPr>
              <w:t>The bimodality coefficient based on the individual data points was 0.39, which does not indicate a bimodal distribution.</w:t>
            </w:r>
          </w:p>
          <w:p w14:paraId="3395DB0B" w14:textId="7CB607D5" w:rsidR="00C24FD0" w:rsidRDefault="001D5BC6" w:rsidP="0028006E">
            <w:pPr>
              <w:spacing w:before="60" w:after="60" w:line="240" w:lineRule="auto"/>
              <w:rPr>
                <w:iCs/>
                <w:sz w:val="18"/>
                <w:szCs w:val="18"/>
              </w:rPr>
            </w:pPr>
            <w:r>
              <w:rPr>
                <w:iCs/>
                <w:sz w:val="18"/>
                <w:szCs w:val="18"/>
              </w:rPr>
              <w:t xml:space="preserve">The histogram for all data </w:t>
            </w:r>
            <w:r w:rsidR="00A30181">
              <w:rPr>
                <w:iCs/>
                <w:sz w:val="18"/>
                <w:szCs w:val="18"/>
              </w:rPr>
              <w:t xml:space="preserve">(below) </w:t>
            </w:r>
            <w:r>
              <w:rPr>
                <w:iCs/>
                <w:sz w:val="18"/>
                <w:szCs w:val="18"/>
              </w:rPr>
              <w:t>does not indicate a bimodal distribution</w:t>
            </w:r>
            <w:r w:rsidR="00A30181">
              <w:rPr>
                <w:iCs/>
                <w:sz w:val="18"/>
                <w:szCs w:val="18"/>
              </w:rPr>
              <w:t>,</w:t>
            </w:r>
            <w:r>
              <w:rPr>
                <w:iCs/>
                <w:sz w:val="18"/>
                <w:szCs w:val="18"/>
              </w:rPr>
              <w:t xml:space="preserve"> </w:t>
            </w:r>
            <w:r w:rsidR="00A30181">
              <w:rPr>
                <w:iCs/>
                <w:sz w:val="18"/>
                <w:szCs w:val="18"/>
              </w:rPr>
              <w:t>al</w:t>
            </w:r>
            <w:r>
              <w:rPr>
                <w:iCs/>
                <w:sz w:val="18"/>
                <w:szCs w:val="18"/>
              </w:rPr>
              <w:t xml:space="preserve">though the distribution </w:t>
            </w:r>
            <w:r w:rsidR="00A30181">
              <w:rPr>
                <w:iCs/>
                <w:sz w:val="18"/>
                <w:szCs w:val="18"/>
              </w:rPr>
              <w:t xml:space="preserve">also </w:t>
            </w:r>
            <w:r>
              <w:rPr>
                <w:iCs/>
                <w:sz w:val="18"/>
                <w:szCs w:val="18"/>
              </w:rPr>
              <w:t>does not suggest a normal distribution.</w:t>
            </w:r>
          </w:p>
          <w:p w14:paraId="65BA6432" w14:textId="0ED36F08" w:rsidR="001D5BC6" w:rsidRDefault="00B36CE5" w:rsidP="0028006E">
            <w:pPr>
              <w:spacing w:before="60" w:after="60" w:line="240" w:lineRule="auto"/>
              <w:rPr>
                <w:iCs/>
                <w:sz w:val="18"/>
                <w:szCs w:val="18"/>
              </w:rPr>
            </w:pPr>
            <w:r>
              <w:rPr>
                <w:iCs/>
                <w:noProof/>
                <w:sz w:val="18"/>
                <w:szCs w:val="18"/>
              </w:rPr>
              <w:drawing>
                <wp:inline distT="0" distB="0" distL="0" distR="0" wp14:anchorId="3815381D" wp14:editId="54DAD78E">
                  <wp:extent cx="3244850" cy="2782469"/>
                  <wp:effectExtent l="0" t="0" r="0" b="0"/>
                  <wp:docPr id="413913272" name="Picture 4" descr="The histogram for all data (below) does not indicate a bimodal distribution, although the distribution also does not suggest a normal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13272" name="Picture 4" descr="The histogram for all data (below) does not indicate a bimodal distribution, although the distribution also does not suggest a normal distribu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52206" cy="2788777"/>
                          </a:xfrm>
                          <a:prstGeom prst="rect">
                            <a:avLst/>
                          </a:prstGeom>
                          <a:noFill/>
                          <a:ln>
                            <a:noFill/>
                          </a:ln>
                        </pic:spPr>
                      </pic:pic>
                    </a:graphicData>
                  </a:graphic>
                </wp:inline>
              </w:drawing>
            </w:r>
          </w:p>
          <w:p w14:paraId="10B870FE" w14:textId="77777777" w:rsidR="001D5BC6" w:rsidRDefault="001D5BC6" w:rsidP="0028006E">
            <w:pPr>
              <w:spacing w:before="60" w:after="60" w:line="240" w:lineRule="auto"/>
              <w:rPr>
                <w:iCs/>
                <w:sz w:val="18"/>
                <w:szCs w:val="18"/>
              </w:rPr>
            </w:pPr>
          </w:p>
          <w:p w14:paraId="420468BB" w14:textId="0AB6445A" w:rsidR="00F55533" w:rsidRDefault="001D5BC6" w:rsidP="0028006E">
            <w:pPr>
              <w:spacing w:before="60" w:after="60" w:line="240" w:lineRule="auto"/>
              <w:rPr>
                <w:iCs/>
                <w:sz w:val="18"/>
                <w:szCs w:val="18"/>
              </w:rPr>
            </w:pPr>
            <w:r>
              <w:rPr>
                <w:iCs/>
                <w:sz w:val="18"/>
                <w:szCs w:val="18"/>
              </w:rPr>
              <w:t xml:space="preserve">The comparisons between </w:t>
            </w:r>
            <w:r w:rsidR="00F55533">
              <w:rPr>
                <w:iCs/>
                <w:sz w:val="18"/>
                <w:szCs w:val="18"/>
              </w:rPr>
              <w:t xml:space="preserve">taxonomic groups </w:t>
            </w:r>
            <w:r w:rsidR="00A30181">
              <w:rPr>
                <w:iCs/>
                <w:sz w:val="18"/>
                <w:szCs w:val="18"/>
              </w:rPr>
              <w:t xml:space="preserve">(see two box plots below) </w:t>
            </w:r>
            <w:r>
              <w:rPr>
                <w:iCs/>
                <w:sz w:val="18"/>
                <w:szCs w:val="18"/>
              </w:rPr>
              <w:t>show</w:t>
            </w:r>
            <w:r w:rsidR="00442215">
              <w:rPr>
                <w:iCs/>
                <w:sz w:val="18"/>
                <w:szCs w:val="18"/>
              </w:rPr>
              <w:t>ed</w:t>
            </w:r>
            <w:r>
              <w:rPr>
                <w:iCs/>
                <w:sz w:val="18"/>
                <w:szCs w:val="18"/>
              </w:rPr>
              <w:t xml:space="preserve"> </w:t>
            </w:r>
            <w:r w:rsidR="00442215">
              <w:rPr>
                <w:iCs/>
                <w:sz w:val="18"/>
                <w:szCs w:val="18"/>
              </w:rPr>
              <w:t>that</w:t>
            </w:r>
            <w:r w:rsidR="00F55533">
              <w:rPr>
                <w:iCs/>
                <w:sz w:val="18"/>
                <w:szCs w:val="18"/>
              </w:rPr>
              <w:t xml:space="preserve"> </w:t>
            </w:r>
            <w:r w:rsidR="00707BC9">
              <w:rPr>
                <w:iCs/>
                <w:sz w:val="18"/>
                <w:szCs w:val="18"/>
              </w:rPr>
              <w:t xml:space="preserve">marine </w:t>
            </w:r>
            <w:r w:rsidR="00F55533">
              <w:rPr>
                <w:iCs/>
                <w:sz w:val="18"/>
                <w:szCs w:val="18"/>
              </w:rPr>
              <w:t>fish</w:t>
            </w:r>
            <w:r w:rsidR="00707BC9">
              <w:rPr>
                <w:iCs/>
                <w:sz w:val="18"/>
                <w:szCs w:val="18"/>
              </w:rPr>
              <w:t>,</w:t>
            </w:r>
            <w:r w:rsidR="00F55533">
              <w:rPr>
                <w:iCs/>
                <w:sz w:val="18"/>
                <w:szCs w:val="18"/>
              </w:rPr>
              <w:t xml:space="preserve"> macroalgae </w:t>
            </w:r>
            <w:r w:rsidR="00707BC9">
              <w:rPr>
                <w:iCs/>
                <w:sz w:val="18"/>
                <w:szCs w:val="18"/>
              </w:rPr>
              <w:t xml:space="preserve">and blue-green algae </w:t>
            </w:r>
            <w:r>
              <w:rPr>
                <w:iCs/>
                <w:sz w:val="18"/>
                <w:szCs w:val="18"/>
              </w:rPr>
              <w:t xml:space="preserve">are </w:t>
            </w:r>
            <w:r w:rsidR="00707BC9">
              <w:rPr>
                <w:iCs/>
                <w:sz w:val="18"/>
                <w:szCs w:val="18"/>
              </w:rPr>
              <w:t xml:space="preserve">generally </w:t>
            </w:r>
            <w:r w:rsidR="00F55533">
              <w:rPr>
                <w:iCs/>
                <w:sz w:val="18"/>
                <w:szCs w:val="18"/>
              </w:rPr>
              <w:t xml:space="preserve">less sensitive </w:t>
            </w:r>
            <w:r w:rsidR="00707BC9">
              <w:rPr>
                <w:iCs/>
                <w:sz w:val="18"/>
                <w:szCs w:val="18"/>
              </w:rPr>
              <w:t xml:space="preserve">to copper </w:t>
            </w:r>
            <w:r w:rsidR="00F55533">
              <w:rPr>
                <w:iCs/>
                <w:sz w:val="18"/>
                <w:szCs w:val="18"/>
              </w:rPr>
              <w:t xml:space="preserve">than other groups, including </w:t>
            </w:r>
            <w:r w:rsidR="00DE27A3">
              <w:rPr>
                <w:iCs/>
                <w:sz w:val="18"/>
                <w:szCs w:val="18"/>
              </w:rPr>
              <w:t>microalgae.</w:t>
            </w:r>
            <w:r w:rsidR="00442215">
              <w:rPr>
                <w:iCs/>
                <w:sz w:val="18"/>
                <w:szCs w:val="18"/>
              </w:rPr>
              <w:t xml:space="preserve"> However, while there is clear taxa-specific sensitivity (something very common for toxicants), this does not </w:t>
            </w:r>
            <w:r w:rsidR="00442215">
              <w:rPr>
                <w:iCs/>
                <w:sz w:val="18"/>
                <w:szCs w:val="18"/>
              </w:rPr>
              <w:lastRenderedPageBreak/>
              <w:t>result in a bimodal toxicity relationship, as evidenced by the high degree of overlap in sensitivity of different taxa groups and trophic levels.</w:t>
            </w:r>
          </w:p>
          <w:p w14:paraId="56EDBDBF" w14:textId="77777777" w:rsidR="00F55533" w:rsidRDefault="00F55533" w:rsidP="0028006E">
            <w:pPr>
              <w:spacing w:before="60" w:after="60" w:line="240" w:lineRule="auto"/>
              <w:rPr>
                <w:iCs/>
                <w:sz w:val="18"/>
                <w:szCs w:val="18"/>
              </w:rPr>
            </w:pPr>
          </w:p>
          <w:p w14:paraId="2967CB01" w14:textId="1CADE9C4" w:rsidR="0028006E" w:rsidRDefault="00F55533" w:rsidP="0028006E">
            <w:pPr>
              <w:spacing w:before="60" w:after="60" w:line="240" w:lineRule="auto"/>
              <w:rPr>
                <w:iCs/>
                <w:sz w:val="18"/>
                <w:szCs w:val="18"/>
              </w:rPr>
            </w:pPr>
            <w:r>
              <w:rPr>
                <w:iCs/>
                <w:noProof/>
                <w:sz w:val="18"/>
                <w:szCs w:val="18"/>
              </w:rPr>
              <w:drawing>
                <wp:inline distT="0" distB="0" distL="0" distR="0" wp14:anchorId="11851968" wp14:editId="5CBED0B0">
                  <wp:extent cx="3568700" cy="3060172"/>
                  <wp:effectExtent l="0" t="0" r="0" b="6985"/>
                  <wp:docPr id="871088484" name="Picture 3" descr="The comparisons between taxonomic groups (see two box plots below) showed that marine fish, macroalgae and blue-green algae are generally less sensitive to copper than other groups, including microalgae. However, while there is clear taxa-specific sensitivity (something very common for toxicants), this does not result in a bimodal toxicity relationship, as evidenced by the high degree of overlap in sensitivity of different taxa groups and trophic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88484" name="Picture 3" descr="The comparisons between taxonomic groups (see two box plots below) showed that marine fish, macroalgae and blue-green algae are generally less sensitive to copper than other groups, including microalgae. However, while there is clear taxa-specific sensitivity (something very common for toxicants), this does not result in a bimodal toxicity relationship, as evidenced by the high degree of overlap in sensitivity of different taxa groups and trophic level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8825" cy="3060279"/>
                          </a:xfrm>
                          <a:prstGeom prst="rect">
                            <a:avLst/>
                          </a:prstGeom>
                          <a:noFill/>
                          <a:ln>
                            <a:noFill/>
                          </a:ln>
                        </pic:spPr>
                      </pic:pic>
                    </a:graphicData>
                  </a:graphic>
                </wp:inline>
              </w:drawing>
            </w:r>
          </w:p>
          <w:p w14:paraId="71C406BF" w14:textId="5D4A7B0A" w:rsidR="006F2C72" w:rsidRDefault="004150AC" w:rsidP="0028006E">
            <w:pPr>
              <w:spacing w:before="60" w:after="60" w:line="240" w:lineRule="auto"/>
              <w:rPr>
                <w:iCs/>
                <w:sz w:val="18"/>
                <w:szCs w:val="18"/>
              </w:rPr>
            </w:pPr>
            <w:r>
              <w:rPr>
                <w:iCs/>
                <w:noProof/>
                <w:sz w:val="18"/>
                <w:szCs w:val="18"/>
              </w:rPr>
              <w:lastRenderedPageBreak/>
              <w:drawing>
                <wp:inline distT="0" distB="0" distL="0" distR="0" wp14:anchorId="646EC5E7" wp14:editId="58F57CB5">
                  <wp:extent cx="3365500" cy="2885927"/>
                  <wp:effectExtent l="0" t="0" r="6350" b="0"/>
                  <wp:docPr id="1409908406" name="Picture 2" descr="The comparisons between taxonomic groups (see two box plots below) showed that marine fish, macroalgae and blue-green algae are generally less sensitive to copper than other groups, including microalgae. However, while there is clear taxa-specific sensitivity (something very common for toxicants), this does not result in a bimodal toxicity relationship, as evidenced by the high degree of overlap in sensitivity of different taxa groups and trophic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08406" name="Picture 2" descr="The comparisons between taxonomic groups (see two box plots below) showed that marine fish, macroalgae and blue-green algae are generally less sensitive to copper than other groups, including microalgae. However, while there is clear taxa-specific sensitivity (something very common for toxicants), this does not result in a bimodal toxicity relationship, as evidenced by the high degree of overlap in sensitivity of different taxa groups and trophic level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72230" cy="2891698"/>
                          </a:xfrm>
                          <a:prstGeom prst="rect">
                            <a:avLst/>
                          </a:prstGeom>
                          <a:noFill/>
                          <a:ln>
                            <a:noFill/>
                          </a:ln>
                        </pic:spPr>
                      </pic:pic>
                    </a:graphicData>
                  </a:graphic>
                </wp:inline>
              </w:drawing>
            </w:r>
          </w:p>
          <w:p w14:paraId="4AE0B558" w14:textId="1AD9B758" w:rsidR="006F2C72" w:rsidRPr="004A7EDD" w:rsidRDefault="006F2C72" w:rsidP="0028006E">
            <w:pPr>
              <w:spacing w:before="60" w:after="60" w:line="240" w:lineRule="auto"/>
              <w:rPr>
                <w:iCs/>
                <w:sz w:val="18"/>
                <w:szCs w:val="18"/>
              </w:rPr>
            </w:pPr>
          </w:p>
        </w:tc>
        <w:tc>
          <w:tcPr>
            <w:tcW w:w="3118" w:type="dxa"/>
            <w:tcBorders>
              <w:top w:val="single" w:sz="4" w:space="0" w:color="auto"/>
              <w:left w:val="single" w:sz="4" w:space="0" w:color="auto"/>
              <w:bottom w:val="single" w:sz="4" w:space="0" w:color="auto"/>
              <w:right w:val="single" w:sz="4" w:space="0" w:color="auto"/>
            </w:tcBorders>
          </w:tcPr>
          <w:p w14:paraId="2999C903" w14:textId="01E6B2D8" w:rsidR="0028006E" w:rsidRPr="004A7EDD" w:rsidRDefault="002611D2" w:rsidP="0028006E">
            <w:pPr>
              <w:spacing w:before="60" w:after="60" w:line="280" w:lineRule="atLeast"/>
              <w:rPr>
                <w:sz w:val="18"/>
                <w:szCs w:val="18"/>
              </w:rPr>
            </w:pPr>
            <w:r>
              <w:rPr>
                <w:sz w:val="18"/>
                <w:szCs w:val="18"/>
              </w:rPr>
              <w:lastRenderedPageBreak/>
              <w:t xml:space="preserve">Additional analysis has been added to </w:t>
            </w:r>
            <w:r w:rsidR="00F356BD">
              <w:rPr>
                <w:sz w:val="18"/>
                <w:szCs w:val="18"/>
              </w:rPr>
              <w:t>Appendix F, modality assessment</w:t>
            </w:r>
            <w:r w:rsidR="00442215">
              <w:rPr>
                <w:sz w:val="18"/>
                <w:szCs w:val="18"/>
              </w:rPr>
              <w:t xml:space="preserve">. </w:t>
            </w:r>
            <w:r w:rsidR="00442215">
              <w:rPr>
                <w:sz w:val="18"/>
                <w:szCs w:val="18"/>
              </w:rPr>
              <w:lastRenderedPageBreak/>
              <w:t>There was no change to the conclusion of the modality assessment.</w:t>
            </w:r>
          </w:p>
        </w:tc>
      </w:tr>
      <w:tr w:rsidR="0028006E" w14:paraId="38694C1E" w14:textId="77777777" w:rsidTr="004A7EDD">
        <w:tc>
          <w:tcPr>
            <w:tcW w:w="4673" w:type="dxa"/>
            <w:tcBorders>
              <w:top w:val="single" w:sz="4" w:space="0" w:color="auto"/>
              <w:left w:val="single" w:sz="4" w:space="0" w:color="auto"/>
              <w:bottom w:val="single" w:sz="4" w:space="0" w:color="auto"/>
              <w:right w:val="single" w:sz="4" w:space="0" w:color="auto"/>
            </w:tcBorders>
          </w:tcPr>
          <w:p w14:paraId="6F9BB8EE" w14:textId="46BAEEC9" w:rsidR="0028006E" w:rsidRPr="00D62FEF" w:rsidRDefault="00022CF2" w:rsidP="00D62FEF">
            <w:pPr>
              <w:pStyle w:val="ListParagraph"/>
              <w:numPr>
                <w:ilvl w:val="0"/>
                <w:numId w:val="22"/>
              </w:numPr>
              <w:spacing w:before="60" w:after="60"/>
              <w:rPr>
                <w:bCs/>
                <w:sz w:val="18"/>
                <w:szCs w:val="18"/>
              </w:rPr>
            </w:pPr>
            <w:r w:rsidRPr="00D62FEF">
              <w:rPr>
                <w:bCs/>
                <w:sz w:val="18"/>
                <w:szCs w:val="18"/>
              </w:rPr>
              <w:lastRenderedPageBreak/>
              <w:t>The suitability of the proposed DOC correction at the 'ecosystem' scale given it has been developed from responses of two non-Australasian (northern hemisphere) species.</w:t>
            </w:r>
          </w:p>
        </w:tc>
        <w:tc>
          <w:tcPr>
            <w:tcW w:w="5954" w:type="dxa"/>
            <w:tcBorders>
              <w:top w:val="single" w:sz="4" w:space="0" w:color="auto"/>
              <w:left w:val="single" w:sz="4" w:space="0" w:color="auto"/>
              <w:bottom w:val="single" w:sz="4" w:space="0" w:color="auto"/>
              <w:right w:val="single" w:sz="4" w:space="0" w:color="auto"/>
            </w:tcBorders>
          </w:tcPr>
          <w:p w14:paraId="1C506F39" w14:textId="0B4F9033" w:rsidR="0028006E" w:rsidRDefault="001839E7" w:rsidP="0028006E">
            <w:pPr>
              <w:spacing w:before="60" w:after="60" w:line="240" w:lineRule="auto"/>
              <w:rPr>
                <w:iCs/>
                <w:sz w:val="18"/>
                <w:szCs w:val="18"/>
              </w:rPr>
            </w:pPr>
            <w:r>
              <w:rPr>
                <w:iCs/>
                <w:sz w:val="18"/>
                <w:szCs w:val="18"/>
              </w:rPr>
              <w:t>Unfortunately</w:t>
            </w:r>
            <w:r w:rsidR="00BD6C0C">
              <w:rPr>
                <w:iCs/>
                <w:sz w:val="18"/>
                <w:szCs w:val="18"/>
              </w:rPr>
              <w:t>,</w:t>
            </w:r>
            <w:r>
              <w:rPr>
                <w:iCs/>
                <w:sz w:val="18"/>
                <w:szCs w:val="18"/>
              </w:rPr>
              <w:t xml:space="preserve"> there is a lack of </w:t>
            </w:r>
            <w:r w:rsidR="00BD6C0C">
              <w:rPr>
                <w:iCs/>
                <w:sz w:val="18"/>
                <w:szCs w:val="18"/>
              </w:rPr>
              <w:t xml:space="preserve">relevant </w:t>
            </w:r>
            <w:r>
              <w:rPr>
                <w:iCs/>
                <w:sz w:val="18"/>
                <w:szCs w:val="18"/>
              </w:rPr>
              <w:t>data for Australasian species in order to check the proposed DOC correction.</w:t>
            </w:r>
          </w:p>
          <w:p w14:paraId="44126B70" w14:textId="27A78F39" w:rsidR="00336C41" w:rsidRPr="004A7EDD" w:rsidRDefault="001839E7" w:rsidP="003C513E">
            <w:pPr>
              <w:spacing w:before="60" w:after="60" w:line="240" w:lineRule="auto"/>
              <w:rPr>
                <w:iCs/>
                <w:sz w:val="18"/>
                <w:szCs w:val="18"/>
              </w:rPr>
            </w:pPr>
            <w:r>
              <w:rPr>
                <w:iCs/>
                <w:sz w:val="18"/>
                <w:szCs w:val="18"/>
              </w:rPr>
              <w:t xml:space="preserve">There are data related to the estimation of bioavailable copper (e.g., as measured with DGTs or </w:t>
            </w:r>
            <w:r w:rsidR="00336C41">
              <w:rPr>
                <w:iCs/>
                <w:sz w:val="18"/>
                <w:szCs w:val="18"/>
              </w:rPr>
              <w:t xml:space="preserve">voltammetry) </w:t>
            </w:r>
            <w:r w:rsidR="00BD6C0C">
              <w:rPr>
                <w:iCs/>
                <w:sz w:val="18"/>
                <w:szCs w:val="18"/>
              </w:rPr>
              <w:t>that</w:t>
            </w:r>
            <w:r w:rsidR="00336C41">
              <w:rPr>
                <w:iCs/>
                <w:sz w:val="18"/>
                <w:szCs w:val="18"/>
              </w:rPr>
              <w:t xml:space="preserve"> can be used to assess the suitability of the correction.</w:t>
            </w:r>
            <w:r w:rsidR="005F5B20">
              <w:rPr>
                <w:iCs/>
                <w:sz w:val="18"/>
                <w:szCs w:val="18"/>
              </w:rPr>
              <w:t xml:space="preserve"> Samples collected off the Hauraki Gulf of New Zealand</w:t>
            </w:r>
            <w:r w:rsidR="004800C9">
              <w:rPr>
                <w:iCs/>
                <w:sz w:val="18"/>
                <w:szCs w:val="18"/>
              </w:rPr>
              <w:t>, and in the Tasman Sea</w:t>
            </w:r>
            <w:r w:rsidR="005F5B20">
              <w:rPr>
                <w:iCs/>
                <w:sz w:val="18"/>
                <w:szCs w:val="18"/>
              </w:rPr>
              <w:t xml:space="preserve"> indicate less than 1% of the copper is in bioavailable forms</w:t>
            </w:r>
            <w:r w:rsidR="00E07CE3">
              <w:rPr>
                <w:iCs/>
                <w:sz w:val="18"/>
                <w:szCs w:val="18"/>
              </w:rPr>
              <w:t xml:space="preserve"> </w:t>
            </w:r>
            <w:r w:rsidR="00BD6C0C">
              <w:rPr>
                <w:iCs/>
                <w:sz w:val="18"/>
                <w:szCs w:val="18"/>
              </w:rPr>
              <w:t>(</w:t>
            </w:r>
            <w:proofErr w:type="spellStart"/>
            <w:r w:rsidR="00E07CE3">
              <w:rPr>
                <w:iCs/>
                <w:sz w:val="18"/>
                <w:szCs w:val="18"/>
              </w:rPr>
              <w:t>Zitoun</w:t>
            </w:r>
            <w:proofErr w:type="spellEnd"/>
            <w:r w:rsidR="00E07CE3">
              <w:rPr>
                <w:iCs/>
                <w:sz w:val="18"/>
                <w:szCs w:val="18"/>
              </w:rPr>
              <w:t xml:space="preserve"> 2019</w:t>
            </w:r>
            <w:r w:rsidR="00BD6C0C">
              <w:rPr>
                <w:iCs/>
                <w:sz w:val="18"/>
                <w:szCs w:val="18"/>
              </w:rPr>
              <w:t xml:space="preserve">, </w:t>
            </w:r>
            <w:r w:rsidR="00812C44">
              <w:rPr>
                <w:iCs/>
                <w:sz w:val="18"/>
                <w:szCs w:val="18"/>
              </w:rPr>
              <w:t>Thompson 2014</w:t>
            </w:r>
            <w:r w:rsidR="00BD6C0C">
              <w:rPr>
                <w:iCs/>
                <w:sz w:val="18"/>
                <w:szCs w:val="18"/>
              </w:rPr>
              <w:t>)</w:t>
            </w:r>
            <w:r w:rsidR="00812C44">
              <w:rPr>
                <w:iCs/>
                <w:sz w:val="18"/>
                <w:szCs w:val="18"/>
              </w:rPr>
              <w:t xml:space="preserve">. </w:t>
            </w:r>
            <w:r w:rsidR="005903FE">
              <w:rPr>
                <w:iCs/>
                <w:sz w:val="18"/>
                <w:szCs w:val="18"/>
              </w:rPr>
              <w:t xml:space="preserve">At sites affected by shipwreck-related copper contamination, </w:t>
            </w:r>
            <w:r w:rsidR="00C6092D">
              <w:rPr>
                <w:iCs/>
                <w:sz w:val="18"/>
                <w:szCs w:val="18"/>
              </w:rPr>
              <w:t>where total and dissolved copper concentrations were in the range 0</w:t>
            </w:r>
            <w:r w:rsidR="007913F1">
              <w:rPr>
                <w:iCs/>
                <w:sz w:val="18"/>
                <w:szCs w:val="18"/>
              </w:rPr>
              <w:t>.</w:t>
            </w:r>
            <w:r w:rsidR="00C6092D">
              <w:rPr>
                <w:iCs/>
                <w:sz w:val="18"/>
                <w:szCs w:val="18"/>
              </w:rPr>
              <w:t>3-</w:t>
            </w:r>
            <w:r w:rsidR="00840195">
              <w:rPr>
                <w:iCs/>
                <w:sz w:val="18"/>
                <w:szCs w:val="18"/>
              </w:rPr>
              <w:t xml:space="preserve">80 </w:t>
            </w:r>
            <w:r w:rsidR="00840195">
              <w:rPr>
                <w:rFonts w:cs="Calibri"/>
                <w:iCs/>
                <w:sz w:val="18"/>
                <w:szCs w:val="18"/>
              </w:rPr>
              <w:t>µ</w:t>
            </w:r>
            <w:r w:rsidR="00840195">
              <w:rPr>
                <w:iCs/>
                <w:sz w:val="18"/>
                <w:szCs w:val="18"/>
              </w:rPr>
              <w:t xml:space="preserve">g/L, </w:t>
            </w:r>
            <w:r w:rsidR="00F40782">
              <w:rPr>
                <w:iCs/>
                <w:sz w:val="18"/>
                <w:szCs w:val="18"/>
              </w:rPr>
              <w:t>bioavailable</w:t>
            </w:r>
            <w:r w:rsidR="00C6092D">
              <w:rPr>
                <w:iCs/>
                <w:sz w:val="18"/>
                <w:szCs w:val="18"/>
              </w:rPr>
              <w:t xml:space="preserve"> copper remained</w:t>
            </w:r>
            <w:r w:rsidR="008C7D6C">
              <w:rPr>
                <w:iCs/>
                <w:sz w:val="18"/>
                <w:szCs w:val="18"/>
              </w:rPr>
              <w:t xml:space="preserve"> a low proportion of dissolved copper (</w:t>
            </w:r>
            <w:r w:rsidR="00BD6C0C">
              <w:rPr>
                <w:iCs/>
                <w:sz w:val="18"/>
                <w:szCs w:val="18"/>
              </w:rPr>
              <w:t xml:space="preserve">i.e. </w:t>
            </w:r>
            <w:r w:rsidR="008C7D6C">
              <w:rPr>
                <w:iCs/>
                <w:sz w:val="18"/>
                <w:szCs w:val="18"/>
              </w:rPr>
              <w:t>1-9%</w:t>
            </w:r>
            <w:r w:rsidR="00BD6C0C">
              <w:rPr>
                <w:iCs/>
                <w:sz w:val="18"/>
                <w:szCs w:val="18"/>
              </w:rPr>
              <w:t>) (</w:t>
            </w:r>
            <w:r w:rsidR="0041651A">
              <w:rPr>
                <w:iCs/>
                <w:sz w:val="18"/>
                <w:szCs w:val="18"/>
              </w:rPr>
              <w:t>Hartland 2019</w:t>
            </w:r>
            <w:r w:rsidR="008C7D6C">
              <w:rPr>
                <w:iCs/>
                <w:sz w:val="18"/>
                <w:szCs w:val="18"/>
              </w:rPr>
              <w:t>)</w:t>
            </w:r>
            <w:r w:rsidR="0041651A">
              <w:rPr>
                <w:iCs/>
                <w:sz w:val="18"/>
                <w:szCs w:val="18"/>
              </w:rPr>
              <w:t>.</w:t>
            </w:r>
            <w:r w:rsidR="000C4743">
              <w:rPr>
                <w:iCs/>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tcPr>
          <w:p w14:paraId="11B06D99" w14:textId="38E3FD0C" w:rsidR="0028006E" w:rsidRPr="00BD6C0C" w:rsidRDefault="006D6D24" w:rsidP="0028006E">
            <w:pPr>
              <w:spacing w:before="60" w:after="60" w:line="280" w:lineRule="atLeast"/>
              <w:rPr>
                <w:sz w:val="18"/>
                <w:szCs w:val="18"/>
              </w:rPr>
            </w:pPr>
            <w:r w:rsidRPr="00BD6C0C">
              <w:rPr>
                <w:sz w:val="18"/>
                <w:szCs w:val="18"/>
              </w:rPr>
              <w:t>Text</w:t>
            </w:r>
            <w:r w:rsidR="00BD6C0C">
              <w:rPr>
                <w:sz w:val="18"/>
                <w:szCs w:val="18"/>
              </w:rPr>
              <w:t xml:space="preserve"> has been</w:t>
            </w:r>
            <w:r w:rsidRPr="00BD6C0C">
              <w:rPr>
                <w:sz w:val="18"/>
                <w:szCs w:val="18"/>
              </w:rPr>
              <w:t xml:space="preserve"> added to</w:t>
            </w:r>
            <w:r w:rsidR="00420A8C" w:rsidRPr="00BD6C0C">
              <w:rPr>
                <w:sz w:val="18"/>
                <w:szCs w:val="18"/>
              </w:rPr>
              <w:t xml:space="preserve"> </w:t>
            </w:r>
            <w:r w:rsidRPr="00BD6C0C">
              <w:rPr>
                <w:sz w:val="18"/>
                <w:szCs w:val="18"/>
              </w:rPr>
              <w:t>A</w:t>
            </w:r>
            <w:r w:rsidR="00420A8C" w:rsidRPr="00BD6C0C">
              <w:rPr>
                <w:sz w:val="18"/>
                <w:szCs w:val="18"/>
              </w:rPr>
              <w:t>ppendix G</w:t>
            </w:r>
            <w:r w:rsidR="00BD6C0C">
              <w:rPr>
                <w:sz w:val="18"/>
                <w:szCs w:val="18"/>
              </w:rPr>
              <w:t xml:space="preserve"> to reflect this issue.</w:t>
            </w:r>
          </w:p>
        </w:tc>
      </w:tr>
      <w:tr w:rsidR="0028006E" w14:paraId="453D0229" w14:textId="77777777" w:rsidTr="004A7EDD">
        <w:tc>
          <w:tcPr>
            <w:tcW w:w="4673" w:type="dxa"/>
            <w:tcBorders>
              <w:top w:val="single" w:sz="4" w:space="0" w:color="auto"/>
              <w:left w:val="single" w:sz="4" w:space="0" w:color="auto"/>
              <w:bottom w:val="single" w:sz="4" w:space="0" w:color="auto"/>
              <w:right w:val="single" w:sz="4" w:space="0" w:color="auto"/>
            </w:tcBorders>
          </w:tcPr>
          <w:p w14:paraId="753FF594" w14:textId="6DFFB1C2" w:rsidR="0028006E" w:rsidRPr="00D62FEF" w:rsidRDefault="00022CF2" w:rsidP="00D62FEF">
            <w:pPr>
              <w:pStyle w:val="ListParagraph"/>
              <w:numPr>
                <w:ilvl w:val="0"/>
                <w:numId w:val="22"/>
              </w:numPr>
              <w:spacing w:before="60" w:after="60"/>
              <w:rPr>
                <w:bCs/>
                <w:sz w:val="18"/>
                <w:szCs w:val="18"/>
              </w:rPr>
            </w:pPr>
            <w:r w:rsidRPr="00D62FEF">
              <w:rPr>
                <w:bCs/>
                <w:sz w:val="18"/>
                <w:szCs w:val="18"/>
              </w:rPr>
              <w:t xml:space="preserve">A lack of information on whether non-natural forms of DOC such as hydrocarbons and surfactants (detergents) which are common in </w:t>
            </w:r>
            <w:r w:rsidRPr="00D62FEF">
              <w:rPr>
                <w:bCs/>
                <w:sz w:val="18"/>
                <w:szCs w:val="18"/>
              </w:rPr>
              <w:lastRenderedPageBreak/>
              <w:t>industrial ports/zones are likely to bias the DOC correction.</w:t>
            </w:r>
          </w:p>
        </w:tc>
        <w:tc>
          <w:tcPr>
            <w:tcW w:w="5954" w:type="dxa"/>
            <w:tcBorders>
              <w:top w:val="single" w:sz="4" w:space="0" w:color="auto"/>
              <w:left w:val="single" w:sz="4" w:space="0" w:color="auto"/>
              <w:bottom w:val="single" w:sz="4" w:space="0" w:color="auto"/>
              <w:right w:val="single" w:sz="4" w:space="0" w:color="auto"/>
            </w:tcBorders>
          </w:tcPr>
          <w:p w14:paraId="107F1CB4" w14:textId="035BA3E9" w:rsidR="00D64C0D" w:rsidRDefault="00871CA7" w:rsidP="00D64C0D">
            <w:pPr>
              <w:spacing w:before="60" w:after="60" w:line="240" w:lineRule="auto"/>
              <w:rPr>
                <w:iCs/>
                <w:sz w:val="18"/>
                <w:szCs w:val="18"/>
              </w:rPr>
            </w:pPr>
            <w:r>
              <w:rPr>
                <w:iCs/>
                <w:sz w:val="18"/>
                <w:szCs w:val="18"/>
              </w:rPr>
              <w:lastRenderedPageBreak/>
              <w:t xml:space="preserve">There have been many studies into the quality of DOM and the effects of </w:t>
            </w:r>
            <w:r w:rsidR="00CF6077">
              <w:rPr>
                <w:iCs/>
                <w:sz w:val="18"/>
                <w:szCs w:val="18"/>
              </w:rPr>
              <w:t xml:space="preserve">different sources of DOM on metal </w:t>
            </w:r>
            <w:r w:rsidR="00CD5CB1">
              <w:rPr>
                <w:iCs/>
                <w:sz w:val="18"/>
                <w:szCs w:val="18"/>
              </w:rPr>
              <w:t>complexation</w:t>
            </w:r>
            <w:r w:rsidR="00CF6077">
              <w:rPr>
                <w:iCs/>
                <w:sz w:val="18"/>
                <w:szCs w:val="18"/>
              </w:rPr>
              <w:t>.</w:t>
            </w:r>
            <w:r w:rsidR="00D64C0D">
              <w:rPr>
                <w:iCs/>
                <w:sz w:val="18"/>
                <w:szCs w:val="18"/>
              </w:rPr>
              <w:t xml:space="preserve"> Although relationships have been demonstrated between Cu complexation (and reduced toxicity) and humic acid content (e</w:t>
            </w:r>
            <w:r w:rsidR="00BD6C0C">
              <w:rPr>
                <w:iCs/>
                <w:sz w:val="18"/>
                <w:szCs w:val="18"/>
              </w:rPr>
              <w:t>.</w:t>
            </w:r>
            <w:r w:rsidR="00D64C0D">
              <w:rPr>
                <w:iCs/>
                <w:sz w:val="18"/>
                <w:szCs w:val="18"/>
              </w:rPr>
              <w:t>g</w:t>
            </w:r>
            <w:r w:rsidR="00BD6C0C">
              <w:rPr>
                <w:iCs/>
                <w:sz w:val="18"/>
                <w:szCs w:val="18"/>
              </w:rPr>
              <w:t>.</w:t>
            </w:r>
            <w:r w:rsidR="00D64C0D">
              <w:rPr>
                <w:iCs/>
                <w:sz w:val="18"/>
                <w:szCs w:val="18"/>
              </w:rPr>
              <w:t xml:space="preserve"> through </w:t>
            </w:r>
            <w:r w:rsidR="00A86C68">
              <w:rPr>
                <w:iCs/>
                <w:sz w:val="18"/>
                <w:szCs w:val="18"/>
              </w:rPr>
              <w:t>measures of UV absorbance at specific wavelengths</w:t>
            </w:r>
            <w:r w:rsidR="00D64C0D">
              <w:rPr>
                <w:iCs/>
                <w:sz w:val="18"/>
                <w:szCs w:val="18"/>
              </w:rPr>
              <w:t xml:space="preserve"> </w:t>
            </w:r>
            <w:r w:rsidR="00D64C0D">
              <w:rPr>
                <w:iCs/>
                <w:sz w:val="18"/>
                <w:szCs w:val="18"/>
              </w:rPr>
              <w:lastRenderedPageBreak/>
              <w:t>or other indicators of humic acid)</w:t>
            </w:r>
            <w:r w:rsidR="00BD6C0C">
              <w:rPr>
                <w:iCs/>
                <w:sz w:val="18"/>
                <w:szCs w:val="18"/>
              </w:rPr>
              <w:t>,</w:t>
            </w:r>
            <w:r w:rsidR="00D64C0D">
              <w:rPr>
                <w:iCs/>
                <w:sz w:val="18"/>
                <w:szCs w:val="18"/>
              </w:rPr>
              <w:t xml:space="preserve"> there is large variation in those relationships, and non-humic substances can also complex copper. </w:t>
            </w:r>
          </w:p>
          <w:p w14:paraId="5AF02B40" w14:textId="4AECDEC1" w:rsidR="0028006E" w:rsidRDefault="00CF6077" w:rsidP="0028006E">
            <w:pPr>
              <w:spacing w:before="60" w:after="60" w:line="240" w:lineRule="auto"/>
              <w:rPr>
                <w:iCs/>
                <w:sz w:val="18"/>
                <w:szCs w:val="18"/>
              </w:rPr>
            </w:pPr>
            <w:r>
              <w:rPr>
                <w:iCs/>
                <w:sz w:val="18"/>
                <w:szCs w:val="18"/>
              </w:rPr>
              <w:t xml:space="preserve">The general consensus is that </w:t>
            </w:r>
            <w:r w:rsidR="00CD5CB1">
              <w:rPr>
                <w:iCs/>
                <w:sz w:val="18"/>
                <w:szCs w:val="18"/>
              </w:rPr>
              <w:t>although there is variation in the complexation between sources</w:t>
            </w:r>
            <w:r w:rsidR="003E3611">
              <w:rPr>
                <w:iCs/>
                <w:sz w:val="18"/>
                <w:szCs w:val="18"/>
              </w:rPr>
              <w:t xml:space="preserve">, </w:t>
            </w:r>
            <w:r w:rsidR="00477BE9">
              <w:rPr>
                <w:iCs/>
                <w:sz w:val="18"/>
                <w:szCs w:val="18"/>
              </w:rPr>
              <w:t xml:space="preserve">DOM from anthropogenic sources may complex just as much Cu as that from natural sources. </w:t>
            </w:r>
            <w:r w:rsidR="00D130CB">
              <w:rPr>
                <w:iCs/>
                <w:sz w:val="18"/>
                <w:szCs w:val="18"/>
              </w:rPr>
              <w:t>Baken et al. (2011)</w:t>
            </w:r>
            <w:r w:rsidR="00477BE9">
              <w:rPr>
                <w:iCs/>
                <w:sz w:val="18"/>
                <w:szCs w:val="18"/>
              </w:rPr>
              <w:t xml:space="preserve"> </w:t>
            </w:r>
            <w:r w:rsidR="00D130CB">
              <w:rPr>
                <w:iCs/>
                <w:sz w:val="18"/>
                <w:szCs w:val="18"/>
              </w:rPr>
              <w:t xml:space="preserve">found </w:t>
            </w:r>
            <w:r w:rsidR="00477BE9">
              <w:rPr>
                <w:iCs/>
                <w:sz w:val="18"/>
                <w:szCs w:val="18"/>
              </w:rPr>
              <w:t>higher complexation</w:t>
            </w:r>
            <w:r w:rsidR="00D130CB">
              <w:rPr>
                <w:iCs/>
                <w:sz w:val="18"/>
                <w:szCs w:val="18"/>
              </w:rPr>
              <w:t xml:space="preserve"> with DOM from anthropogenic sources</w:t>
            </w:r>
            <w:r w:rsidR="00477BE9">
              <w:rPr>
                <w:iCs/>
                <w:sz w:val="18"/>
                <w:szCs w:val="18"/>
              </w:rPr>
              <w:t xml:space="preserve">, particularly where </w:t>
            </w:r>
            <w:r w:rsidR="00D130CB">
              <w:rPr>
                <w:iCs/>
                <w:sz w:val="18"/>
                <w:szCs w:val="18"/>
              </w:rPr>
              <w:t xml:space="preserve">there was EDTA in the samples. Though this work was undertaken in freshwater, </w:t>
            </w:r>
            <w:r w:rsidR="00D9793E">
              <w:rPr>
                <w:iCs/>
                <w:sz w:val="18"/>
                <w:szCs w:val="18"/>
              </w:rPr>
              <w:t xml:space="preserve">testing with wastewater effluents in marine waters </w:t>
            </w:r>
            <w:r w:rsidR="00132693">
              <w:rPr>
                <w:iCs/>
                <w:sz w:val="18"/>
                <w:szCs w:val="18"/>
              </w:rPr>
              <w:t xml:space="preserve">also demonstrates </w:t>
            </w:r>
            <w:r w:rsidR="00E9030E">
              <w:rPr>
                <w:iCs/>
                <w:sz w:val="18"/>
                <w:szCs w:val="18"/>
              </w:rPr>
              <w:t>Cu complexation with the effluent-associated DOM.</w:t>
            </w:r>
          </w:p>
          <w:p w14:paraId="31BD1CC3" w14:textId="6369F5DE" w:rsidR="00132693" w:rsidRPr="004A7EDD" w:rsidRDefault="00D64C0D" w:rsidP="0028006E">
            <w:pPr>
              <w:spacing w:before="60" w:after="60" w:line="240" w:lineRule="auto"/>
              <w:rPr>
                <w:iCs/>
                <w:sz w:val="18"/>
                <w:szCs w:val="18"/>
              </w:rPr>
            </w:pPr>
            <w:r>
              <w:rPr>
                <w:iCs/>
                <w:sz w:val="18"/>
                <w:szCs w:val="18"/>
              </w:rPr>
              <w:t xml:space="preserve">The </w:t>
            </w:r>
            <w:r w:rsidR="00A57251">
              <w:rPr>
                <w:iCs/>
                <w:sz w:val="18"/>
                <w:szCs w:val="18"/>
              </w:rPr>
              <w:t>DOC correction recommended for this DGV is based on the US EPA draft BLM. Th</w:t>
            </w:r>
            <w:r w:rsidR="00BD6C0C">
              <w:rPr>
                <w:iCs/>
                <w:sz w:val="18"/>
                <w:szCs w:val="18"/>
              </w:rPr>
              <w:t>is</w:t>
            </w:r>
            <w:r w:rsidR="00A57251">
              <w:rPr>
                <w:iCs/>
                <w:sz w:val="18"/>
                <w:szCs w:val="18"/>
              </w:rPr>
              <w:t xml:space="preserve"> BLM was derived using data from samples collected at multiple sites in San Diego Bay and Pearl Harbour. These sites can be expected to include both natural and anthropogenic sources of DOM. Therefore, the correction is not expected to over-estimate the Cu toxicity reduction in the presence of anthropogenic DOM.</w:t>
            </w:r>
          </w:p>
        </w:tc>
        <w:tc>
          <w:tcPr>
            <w:tcW w:w="3118" w:type="dxa"/>
            <w:tcBorders>
              <w:top w:val="single" w:sz="4" w:space="0" w:color="auto"/>
              <w:left w:val="single" w:sz="4" w:space="0" w:color="auto"/>
              <w:bottom w:val="single" w:sz="4" w:space="0" w:color="auto"/>
              <w:right w:val="single" w:sz="4" w:space="0" w:color="auto"/>
            </w:tcBorders>
          </w:tcPr>
          <w:p w14:paraId="3F053131" w14:textId="5CF316AF" w:rsidR="0028006E" w:rsidRPr="004A7EDD" w:rsidRDefault="00BD6C0C" w:rsidP="0028006E">
            <w:pPr>
              <w:spacing w:before="60" w:after="60" w:line="280" w:lineRule="atLeast"/>
              <w:rPr>
                <w:sz w:val="18"/>
                <w:szCs w:val="18"/>
              </w:rPr>
            </w:pPr>
            <w:r w:rsidRPr="00BD6C0C">
              <w:rPr>
                <w:sz w:val="18"/>
                <w:szCs w:val="18"/>
              </w:rPr>
              <w:lastRenderedPageBreak/>
              <w:t>Text</w:t>
            </w:r>
            <w:r>
              <w:rPr>
                <w:sz w:val="18"/>
                <w:szCs w:val="18"/>
              </w:rPr>
              <w:t xml:space="preserve"> has been</w:t>
            </w:r>
            <w:r w:rsidRPr="00BD6C0C">
              <w:rPr>
                <w:sz w:val="18"/>
                <w:szCs w:val="18"/>
              </w:rPr>
              <w:t xml:space="preserve"> added to </w:t>
            </w:r>
            <w:r>
              <w:rPr>
                <w:sz w:val="18"/>
                <w:szCs w:val="18"/>
              </w:rPr>
              <w:t xml:space="preserve">Section 3.2 and </w:t>
            </w:r>
            <w:r w:rsidRPr="00BD6C0C">
              <w:rPr>
                <w:sz w:val="18"/>
                <w:szCs w:val="18"/>
              </w:rPr>
              <w:t>Appendix G</w:t>
            </w:r>
            <w:r>
              <w:rPr>
                <w:sz w:val="18"/>
                <w:szCs w:val="18"/>
              </w:rPr>
              <w:t xml:space="preserve"> to reflect this issue.</w:t>
            </w:r>
          </w:p>
        </w:tc>
      </w:tr>
      <w:tr w:rsidR="0028006E" w14:paraId="6F472220" w14:textId="77777777" w:rsidTr="004A7EDD">
        <w:tc>
          <w:tcPr>
            <w:tcW w:w="4673" w:type="dxa"/>
            <w:tcBorders>
              <w:top w:val="single" w:sz="4" w:space="0" w:color="auto"/>
              <w:left w:val="single" w:sz="4" w:space="0" w:color="auto"/>
              <w:bottom w:val="single" w:sz="4" w:space="0" w:color="auto"/>
              <w:right w:val="single" w:sz="4" w:space="0" w:color="auto"/>
            </w:tcBorders>
          </w:tcPr>
          <w:p w14:paraId="07EB4C4F" w14:textId="4C3B9817" w:rsidR="0028006E" w:rsidRPr="00BD580D" w:rsidRDefault="00BD580D" w:rsidP="00D62FEF">
            <w:pPr>
              <w:pStyle w:val="Default"/>
              <w:numPr>
                <w:ilvl w:val="0"/>
                <w:numId w:val="22"/>
              </w:numPr>
              <w:spacing w:before="60" w:after="60"/>
              <w:rPr>
                <w:sz w:val="18"/>
                <w:szCs w:val="18"/>
              </w:rPr>
            </w:pPr>
            <w:r w:rsidRPr="00BD580D">
              <w:rPr>
                <w:sz w:val="18"/>
                <w:szCs w:val="18"/>
              </w:rPr>
              <w:t xml:space="preserve">A lack of standardisation in correcting/accounting for DOC within the existing dataset and the implementation of a seemingly arbitrary DOC cutoff of 2 mg/L which has the potential to significantly bias the DGV generation process. </w:t>
            </w:r>
          </w:p>
        </w:tc>
        <w:tc>
          <w:tcPr>
            <w:tcW w:w="5954" w:type="dxa"/>
            <w:tcBorders>
              <w:top w:val="single" w:sz="4" w:space="0" w:color="auto"/>
              <w:left w:val="single" w:sz="4" w:space="0" w:color="auto"/>
              <w:bottom w:val="single" w:sz="4" w:space="0" w:color="auto"/>
              <w:right w:val="single" w:sz="4" w:space="0" w:color="auto"/>
            </w:tcBorders>
          </w:tcPr>
          <w:p w14:paraId="6C11907D" w14:textId="46DDFAC9" w:rsidR="00125C2A" w:rsidRDefault="00125C2A" w:rsidP="00BD580D">
            <w:pPr>
              <w:spacing w:before="60" w:after="60" w:line="240" w:lineRule="auto"/>
              <w:rPr>
                <w:iCs/>
                <w:sz w:val="18"/>
                <w:szCs w:val="18"/>
              </w:rPr>
            </w:pPr>
            <w:r>
              <w:rPr>
                <w:iCs/>
                <w:sz w:val="18"/>
                <w:szCs w:val="18"/>
              </w:rPr>
              <w:t>Copper bioavailability is influenced by DOC. There are three possible ways to deal with this</w:t>
            </w:r>
            <w:r w:rsidR="00DB0C00">
              <w:rPr>
                <w:iCs/>
                <w:sz w:val="18"/>
                <w:szCs w:val="18"/>
              </w:rPr>
              <w:t xml:space="preserve"> within the SSD</w:t>
            </w:r>
            <w:r>
              <w:rPr>
                <w:iCs/>
                <w:sz w:val="18"/>
                <w:szCs w:val="18"/>
              </w:rPr>
              <w:t>:</w:t>
            </w:r>
          </w:p>
          <w:p w14:paraId="1BF39F46" w14:textId="77777777" w:rsidR="00AD74A3" w:rsidRDefault="007F7796" w:rsidP="00125C2A">
            <w:pPr>
              <w:pStyle w:val="ListParagraph"/>
              <w:numPr>
                <w:ilvl w:val="0"/>
                <w:numId w:val="21"/>
              </w:numPr>
              <w:spacing w:before="60" w:after="60"/>
              <w:rPr>
                <w:iCs/>
                <w:sz w:val="18"/>
                <w:szCs w:val="18"/>
              </w:rPr>
            </w:pPr>
            <w:r>
              <w:rPr>
                <w:iCs/>
                <w:sz w:val="18"/>
                <w:szCs w:val="18"/>
              </w:rPr>
              <w:t>Only accept toxicity data from tests undertaken in conditions that represent high bioavailability (</w:t>
            </w:r>
            <w:r w:rsidR="00AD74A3">
              <w:rPr>
                <w:iCs/>
                <w:sz w:val="18"/>
                <w:szCs w:val="18"/>
              </w:rPr>
              <w:t>the option used in the draft DGV document)</w:t>
            </w:r>
          </w:p>
          <w:p w14:paraId="15926906" w14:textId="6C31FB8C" w:rsidR="00125C2A" w:rsidRDefault="00125C2A" w:rsidP="00125C2A">
            <w:pPr>
              <w:pStyle w:val="ListParagraph"/>
              <w:numPr>
                <w:ilvl w:val="0"/>
                <w:numId w:val="21"/>
              </w:numPr>
              <w:spacing w:before="60" w:after="60"/>
              <w:rPr>
                <w:iCs/>
                <w:sz w:val="18"/>
                <w:szCs w:val="18"/>
              </w:rPr>
            </w:pPr>
            <w:r>
              <w:rPr>
                <w:iCs/>
                <w:sz w:val="18"/>
                <w:szCs w:val="18"/>
              </w:rPr>
              <w:t>Ignore it and use all available data regardless of DOC</w:t>
            </w:r>
          </w:p>
          <w:p w14:paraId="1043BEE8" w14:textId="1C4586E1" w:rsidR="00BB33D3" w:rsidRDefault="00125C2A" w:rsidP="00125C2A">
            <w:pPr>
              <w:pStyle w:val="ListParagraph"/>
              <w:numPr>
                <w:ilvl w:val="0"/>
                <w:numId w:val="21"/>
              </w:numPr>
              <w:spacing w:before="60" w:after="60"/>
              <w:rPr>
                <w:iCs/>
                <w:sz w:val="18"/>
                <w:szCs w:val="18"/>
              </w:rPr>
            </w:pPr>
            <w:r>
              <w:rPr>
                <w:iCs/>
                <w:sz w:val="18"/>
                <w:szCs w:val="18"/>
              </w:rPr>
              <w:t xml:space="preserve">Use a </w:t>
            </w:r>
            <w:r w:rsidR="00BB33D3">
              <w:rPr>
                <w:iCs/>
                <w:sz w:val="18"/>
                <w:szCs w:val="18"/>
              </w:rPr>
              <w:t xml:space="preserve">bioavailability model to normalise </w:t>
            </w:r>
            <w:r w:rsidR="00BB33D3" w:rsidRPr="00125C2A">
              <w:rPr>
                <w:iCs/>
                <w:sz w:val="18"/>
                <w:szCs w:val="18"/>
              </w:rPr>
              <w:t xml:space="preserve">all toxicity data used in the </w:t>
            </w:r>
            <w:r w:rsidR="00AD74A3">
              <w:rPr>
                <w:iCs/>
                <w:sz w:val="18"/>
                <w:szCs w:val="18"/>
              </w:rPr>
              <w:t>S</w:t>
            </w:r>
            <w:r w:rsidR="00BB33D3" w:rsidRPr="00125C2A">
              <w:rPr>
                <w:iCs/>
                <w:sz w:val="18"/>
                <w:szCs w:val="18"/>
              </w:rPr>
              <w:t>SD to a standard DOC concentration</w:t>
            </w:r>
          </w:p>
          <w:p w14:paraId="26049296" w14:textId="467A50C2" w:rsidR="004671DC" w:rsidRDefault="004671DC" w:rsidP="004671DC">
            <w:pPr>
              <w:spacing w:before="60" w:after="60"/>
              <w:rPr>
                <w:iCs/>
                <w:sz w:val="18"/>
                <w:szCs w:val="18"/>
              </w:rPr>
            </w:pPr>
            <w:r>
              <w:rPr>
                <w:iCs/>
                <w:sz w:val="18"/>
                <w:szCs w:val="18"/>
              </w:rPr>
              <w:t xml:space="preserve">The </w:t>
            </w:r>
            <w:r w:rsidR="00AD74A3">
              <w:rPr>
                <w:iCs/>
                <w:sz w:val="18"/>
                <w:szCs w:val="18"/>
              </w:rPr>
              <w:t xml:space="preserve">first </w:t>
            </w:r>
            <w:r>
              <w:rPr>
                <w:iCs/>
                <w:sz w:val="18"/>
                <w:szCs w:val="18"/>
              </w:rPr>
              <w:t xml:space="preserve">option was used for the derivation of the marine copper </w:t>
            </w:r>
            <w:r w:rsidR="004A4352">
              <w:rPr>
                <w:iCs/>
                <w:sz w:val="18"/>
                <w:szCs w:val="18"/>
              </w:rPr>
              <w:t>DGVs</w:t>
            </w:r>
            <w:r>
              <w:rPr>
                <w:iCs/>
                <w:sz w:val="18"/>
                <w:szCs w:val="18"/>
              </w:rPr>
              <w:t xml:space="preserve">. The other two options were </w:t>
            </w:r>
            <w:r w:rsidRPr="00125C2A">
              <w:rPr>
                <w:iCs/>
                <w:sz w:val="18"/>
                <w:szCs w:val="18"/>
              </w:rPr>
              <w:t xml:space="preserve">assessed as part of </w:t>
            </w:r>
            <w:r>
              <w:rPr>
                <w:iCs/>
                <w:sz w:val="18"/>
                <w:szCs w:val="18"/>
              </w:rPr>
              <w:t xml:space="preserve">this </w:t>
            </w:r>
            <w:r w:rsidRPr="00125C2A">
              <w:rPr>
                <w:iCs/>
                <w:sz w:val="18"/>
                <w:szCs w:val="18"/>
              </w:rPr>
              <w:t xml:space="preserve">response to </w:t>
            </w:r>
            <w:r>
              <w:rPr>
                <w:iCs/>
                <w:sz w:val="18"/>
                <w:szCs w:val="18"/>
              </w:rPr>
              <w:t>the public submission.</w:t>
            </w:r>
            <w:r w:rsidR="00F82363">
              <w:rPr>
                <w:iCs/>
                <w:sz w:val="18"/>
                <w:szCs w:val="18"/>
              </w:rPr>
              <w:t xml:space="preserve"> </w:t>
            </w:r>
          </w:p>
          <w:p w14:paraId="1DF64788" w14:textId="174B1E44" w:rsidR="00140E24" w:rsidRDefault="00140E24" w:rsidP="00140E24">
            <w:pPr>
              <w:spacing w:before="60" w:after="60"/>
              <w:rPr>
                <w:iCs/>
                <w:sz w:val="18"/>
                <w:szCs w:val="18"/>
              </w:rPr>
            </w:pPr>
            <w:r>
              <w:rPr>
                <w:iCs/>
                <w:sz w:val="18"/>
                <w:szCs w:val="18"/>
              </w:rPr>
              <w:t xml:space="preserve">Option 1: There </w:t>
            </w:r>
            <w:r w:rsidR="00F1491D">
              <w:rPr>
                <w:iCs/>
                <w:sz w:val="18"/>
                <w:szCs w:val="18"/>
              </w:rPr>
              <w:t>w</w:t>
            </w:r>
            <w:r w:rsidR="004A4352">
              <w:rPr>
                <w:iCs/>
                <w:sz w:val="18"/>
                <w:szCs w:val="18"/>
              </w:rPr>
              <w:t>as</w:t>
            </w:r>
            <w:r w:rsidR="000C04DB">
              <w:rPr>
                <w:iCs/>
                <w:sz w:val="18"/>
                <w:szCs w:val="18"/>
              </w:rPr>
              <w:t xml:space="preserve"> originally </w:t>
            </w:r>
            <w:r>
              <w:rPr>
                <w:iCs/>
                <w:sz w:val="18"/>
                <w:szCs w:val="18"/>
              </w:rPr>
              <w:t>a total of 32 species</w:t>
            </w:r>
            <w:r w:rsidR="00F1491D">
              <w:rPr>
                <w:iCs/>
                <w:sz w:val="18"/>
                <w:szCs w:val="18"/>
              </w:rPr>
              <w:t xml:space="preserve"> included from </w:t>
            </w:r>
            <w:r w:rsidR="00667242">
              <w:rPr>
                <w:iCs/>
                <w:sz w:val="18"/>
                <w:szCs w:val="18"/>
              </w:rPr>
              <w:t xml:space="preserve">95 </w:t>
            </w:r>
            <w:r w:rsidR="00F1491D">
              <w:rPr>
                <w:iCs/>
                <w:sz w:val="18"/>
                <w:szCs w:val="18"/>
              </w:rPr>
              <w:t xml:space="preserve">acceptable test values, where DOC ranged from </w:t>
            </w:r>
            <w:r w:rsidR="00B27BCA">
              <w:rPr>
                <w:iCs/>
                <w:sz w:val="18"/>
                <w:szCs w:val="18"/>
              </w:rPr>
              <w:t xml:space="preserve">0.2 to 2 mg/L. </w:t>
            </w:r>
            <w:r w:rsidR="007F7796">
              <w:rPr>
                <w:iCs/>
                <w:sz w:val="18"/>
                <w:szCs w:val="18"/>
              </w:rPr>
              <w:t xml:space="preserve">DOC was not reported in 34 </w:t>
            </w:r>
            <w:r>
              <w:rPr>
                <w:iCs/>
                <w:sz w:val="18"/>
                <w:szCs w:val="18"/>
              </w:rPr>
              <w:t xml:space="preserve">of the </w:t>
            </w:r>
            <w:r w:rsidR="00667242">
              <w:rPr>
                <w:iCs/>
                <w:sz w:val="18"/>
                <w:szCs w:val="18"/>
              </w:rPr>
              <w:t xml:space="preserve">95 </w:t>
            </w:r>
            <w:r>
              <w:rPr>
                <w:iCs/>
                <w:sz w:val="18"/>
                <w:szCs w:val="18"/>
              </w:rPr>
              <w:t>tests.</w:t>
            </w:r>
            <w:r w:rsidR="000C04DB">
              <w:rPr>
                <w:iCs/>
                <w:sz w:val="18"/>
                <w:szCs w:val="18"/>
              </w:rPr>
              <w:t xml:space="preserve"> This has been increased to </w:t>
            </w:r>
            <w:r w:rsidR="00667242">
              <w:rPr>
                <w:iCs/>
                <w:sz w:val="18"/>
                <w:szCs w:val="18"/>
              </w:rPr>
              <w:t xml:space="preserve">45 </w:t>
            </w:r>
            <w:r w:rsidR="000C04DB">
              <w:rPr>
                <w:iCs/>
                <w:sz w:val="18"/>
                <w:szCs w:val="18"/>
              </w:rPr>
              <w:t>species</w:t>
            </w:r>
            <w:r w:rsidR="00976F85">
              <w:rPr>
                <w:iCs/>
                <w:sz w:val="18"/>
                <w:szCs w:val="18"/>
              </w:rPr>
              <w:t>, based on the new data provided during the public submission process</w:t>
            </w:r>
            <w:r w:rsidR="00E11643">
              <w:rPr>
                <w:iCs/>
                <w:sz w:val="18"/>
                <w:szCs w:val="18"/>
              </w:rPr>
              <w:t xml:space="preserve">, which were from tests with DOC &lt; 2 mg/L. </w:t>
            </w:r>
          </w:p>
          <w:p w14:paraId="7650FA27" w14:textId="7DDB769D" w:rsidR="00F82363" w:rsidRDefault="00F82363" w:rsidP="004671DC">
            <w:pPr>
              <w:spacing w:before="60" w:after="60"/>
              <w:rPr>
                <w:iCs/>
                <w:sz w:val="18"/>
                <w:szCs w:val="18"/>
              </w:rPr>
            </w:pPr>
            <w:r>
              <w:rPr>
                <w:iCs/>
                <w:sz w:val="18"/>
                <w:szCs w:val="18"/>
              </w:rPr>
              <w:t xml:space="preserve">Option </w:t>
            </w:r>
            <w:r w:rsidR="00AD74A3">
              <w:rPr>
                <w:iCs/>
                <w:sz w:val="18"/>
                <w:szCs w:val="18"/>
              </w:rPr>
              <w:t>2</w:t>
            </w:r>
            <w:r>
              <w:rPr>
                <w:iCs/>
                <w:sz w:val="18"/>
                <w:szCs w:val="18"/>
              </w:rPr>
              <w:t xml:space="preserve">: </w:t>
            </w:r>
            <w:r w:rsidR="00661583">
              <w:rPr>
                <w:iCs/>
                <w:sz w:val="18"/>
                <w:szCs w:val="18"/>
              </w:rPr>
              <w:t>T</w:t>
            </w:r>
            <w:r>
              <w:rPr>
                <w:iCs/>
                <w:sz w:val="18"/>
                <w:szCs w:val="18"/>
              </w:rPr>
              <w:t xml:space="preserve">his </w:t>
            </w:r>
            <w:r w:rsidR="008721F8">
              <w:rPr>
                <w:iCs/>
                <w:sz w:val="18"/>
                <w:szCs w:val="18"/>
              </w:rPr>
              <w:t xml:space="preserve">resulted in a total of </w:t>
            </w:r>
            <w:r w:rsidR="00667242">
              <w:rPr>
                <w:iCs/>
                <w:sz w:val="18"/>
                <w:szCs w:val="18"/>
              </w:rPr>
              <w:t xml:space="preserve">45 </w:t>
            </w:r>
            <w:r w:rsidR="008721F8">
              <w:rPr>
                <w:iCs/>
                <w:sz w:val="18"/>
                <w:szCs w:val="18"/>
              </w:rPr>
              <w:t xml:space="preserve">species, with data from </w:t>
            </w:r>
            <w:r w:rsidR="00667242">
              <w:rPr>
                <w:iCs/>
                <w:sz w:val="18"/>
                <w:szCs w:val="18"/>
              </w:rPr>
              <w:t xml:space="preserve">130 </w:t>
            </w:r>
            <w:r w:rsidR="008721F8">
              <w:rPr>
                <w:iCs/>
                <w:sz w:val="18"/>
                <w:szCs w:val="18"/>
              </w:rPr>
              <w:t>tests</w:t>
            </w:r>
            <w:r w:rsidR="005C4517">
              <w:rPr>
                <w:iCs/>
                <w:sz w:val="18"/>
                <w:szCs w:val="18"/>
              </w:rPr>
              <w:t xml:space="preserve"> (many of which were repeated tests on same species, by same authors)</w:t>
            </w:r>
            <w:r w:rsidR="008721F8">
              <w:rPr>
                <w:iCs/>
                <w:sz w:val="18"/>
                <w:szCs w:val="18"/>
              </w:rPr>
              <w:t xml:space="preserve"> where DOC </w:t>
            </w:r>
            <w:r w:rsidR="008721F8">
              <w:rPr>
                <w:iCs/>
                <w:sz w:val="18"/>
                <w:szCs w:val="18"/>
              </w:rPr>
              <w:lastRenderedPageBreak/>
              <w:t xml:space="preserve">measured 0.009 to </w:t>
            </w:r>
            <w:r w:rsidR="00C67810">
              <w:rPr>
                <w:iCs/>
                <w:sz w:val="18"/>
                <w:szCs w:val="18"/>
              </w:rPr>
              <w:t xml:space="preserve">21.6 mg/L. </w:t>
            </w:r>
            <w:r w:rsidR="004E1E47">
              <w:rPr>
                <w:iCs/>
                <w:sz w:val="18"/>
                <w:szCs w:val="18"/>
              </w:rPr>
              <w:t xml:space="preserve">These values included </w:t>
            </w:r>
            <w:r w:rsidR="00E34315">
              <w:rPr>
                <w:iCs/>
                <w:sz w:val="18"/>
                <w:szCs w:val="18"/>
              </w:rPr>
              <w:t xml:space="preserve">additional </w:t>
            </w:r>
            <w:r w:rsidR="00270706">
              <w:rPr>
                <w:iCs/>
                <w:sz w:val="18"/>
                <w:szCs w:val="18"/>
              </w:rPr>
              <w:t>data</w:t>
            </w:r>
            <w:r w:rsidR="00D129A4">
              <w:rPr>
                <w:iCs/>
                <w:sz w:val="18"/>
                <w:szCs w:val="18"/>
              </w:rPr>
              <w:t xml:space="preserve"> from </w:t>
            </w:r>
            <w:r w:rsidR="00E34315">
              <w:rPr>
                <w:iCs/>
                <w:sz w:val="18"/>
                <w:szCs w:val="18"/>
              </w:rPr>
              <w:t xml:space="preserve">tests </w:t>
            </w:r>
            <w:r w:rsidR="004E1E47">
              <w:rPr>
                <w:iCs/>
                <w:sz w:val="18"/>
                <w:szCs w:val="18"/>
              </w:rPr>
              <w:t xml:space="preserve">on </w:t>
            </w:r>
            <w:r w:rsidR="00E34315">
              <w:rPr>
                <w:iCs/>
                <w:sz w:val="18"/>
                <w:szCs w:val="18"/>
              </w:rPr>
              <w:t>two species (</w:t>
            </w:r>
            <w:r w:rsidR="00E34315" w:rsidRPr="00FE772E">
              <w:rPr>
                <w:i/>
                <w:sz w:val="18"/>
                <w:szCs w:val="18"/>
              </w:rPr>
              <w:t xml:space="preserve">Mytilus </w:t>
            </w:r>
            <w:r w:rsidR="00FE772E" w:rsidRPr="00FE772E">
              <w:rPr>
                <w:i/>
                <w:sz w:val="18"/>
                <w:szCs w:val="18"/>
              </w:rPr>
              <w:t xml:space="preserve">galloprovincialis </w:t>
            </w:r>
            <w:r w:rsidR="00FE772E">
              <w:rPr>
                <w:iCs/>
                <w:sz w:val="18"/>
                <w:szCs w:val="18"/>
              </w:rPr>
              <w:t xml:space="preserve">and </w:t>
            </w:r>
            <w:r w:rsidR="00FE772E" w:rsidRPr="00FE772E">
              <w:rPr>
                <w:i/>
                <w:sz w:val="18"/>
                <w:szCs w:val="18"/>
              </w:rPr>
              <w:t xml:space="preserve">M. </w:t>
            </w:r>
            <w:proofErr w:type="spellStart"/>
            <w:r w:rsidR="00FE772E" w:rsidRPr="00FE772E">
              <w:rPr>
                <w:i/>
                <w:sz w:val="18"/>
                <w:szCs w:val="18"/>
              </w:rPr>
              <w:t>tross</w:t>
            </w:r>
            <w:r w:rsidR="000D7819">
              <w:rPr>
                <w:i/>
                <w:sz w:val="18"/>
                <w:szCs w:val="18"/>
              </w:rPr>
              <w:t>o</w:t>
            </w:r>
            <w:r w:rsidR="00FE772E" w:rsidRPr="00FE772E">
              <w:rPr>
                <w:i/>
                <w:sz w:val="18"/>
                <w:szCs w:val="18"/>
              </w:rPr>
              <w:t>lus</w:t>
            </w:r>
            <w:proofErr w:type="spellEnd"/>
            <w:r w:rsidR="00E34315">
              <w:rPr>
                <w:iCs/>
                <w:sz w:val="18"/>
                <w:szCs w:val="18"/>
              </w:rPr>
              <w:t>)</w:t>
            </w:r>
            <w:r w:rsidR="004E1E47">
              <w:rPr>
                <w:iCs/>
                <w:sz w:val="18"/>
                <w:szCs w:val="18"/>
              </w:rPr>
              <w:t xml:space="preserve"> where DOC was varied to assess the effect on copper toxicity.</w:t>
            </w:r>
          </w:p>
          <w:p w14:paraId="4D71A47E" w14:textId="5910538A" w:rsidR="00D15AA5" w:rsidRDefault="00D15AA5" w:rsidP="00D15AA5">
            <w:pPr>
              <w:spacing w:before="60" w:after="60"/>
              <w:rPr>
                <w:iCs/>
                <w:sz w:val="18"/>
                <w:szCs w:val="18"/>
              </w:rPr>
            </w:pPr>
            <w:r>
              <w:rPr>
                <w:iCs/>
                <w:sz w:val="18"/>
                <w:szCs w:val="18"/>
              </w:rPr>
              <w:t xml:space="preserve">Option </w:t>
            </w:r>
            <w:r w:rsidR="00AD74A3">
              <w:rPr>
                <w:iCs/>
                <w:sz w:val="18"/>
                <w:szCs w:val="18"/>
              </w:rPr>
              <w:t>3</w:t>
            </w:r>
            <w:r>
              <w:rPr>
                <w:iCs/>
                <w:sz w:val="18"/>
                <w:szCs w:val="18"/>
              </w:rPr>
              <w:t xml:space="preserve">: </w:t>
            </w:r>
            <w:r w:rsidR="00140E24">
              <w:rPr>
                <w:iCs/>
                <w:sz w:val="18"/>
                <w:szCs w:val="18"/>
              </w:rPr>
              <w:t>T</w:t>
            </w:r>
            <w:r>
              <w:rPr>
                <w:iCs/>
                <w:sz w:val="18"/>
                <w:szCs w:val="18"/>
              </w:rPr>
              <w:t xml:space="preserve">his </w:t>
            </w:r>
            <w:r w:rsidR="00140E24">
              <w:rPr>
                <w:iCs/>
                <w:sz w:val="18"/>
                <w:szCs w:val="18"/>
              </w:rPr>
              <w:t xml:space="preserve">also </w:t>
            </w:r>
            <w:r>
              <w:rPr>
                <w:iCs/>
                <w:sz w:val="18"/>
                <w:szCs w:val="18"/>
              </w:rPr>
              <w:t xml:space="preserve">resulted in a total of </w:t>
            </w:r>
            <w:r w:rsidR="00667242">
              <w:rPr>
                <w:iCs/>
                <w:sz w:val="18"/>
                <w:szCs w:val="18"/>
              </w:rPr>
              <w:t xml:space="preserve">45 </w:t>
            </w:r>
            <w:r>
              <w:rPr>
                <w:iCs/>
                <w:sz w:val="18"/>
                <w:szCs w:val="18"/>
              </w:rPr>
              <w:t xml:space="preserve">species, with data from tests where DOC measured 0.009 to 21.6 mg/L. In 68 of the </w:t>
            </w:r>
            <w:r w:rsidR="00667242">
              <w:rPr>
                <w:iCs/>
                <w:sz w:val="18"/>
                <w:szCs w:val="18"/>
              </w:rPr>
              <w:t xml:space="preserve">130 </w:t>
            </w:r>
            <w:r>
              <w:rPr>
                <w:iCs/>
                <w:sz w:val="18"/>
                <w:szCs w:val="18"/>
              </w:rPr>
              <w:t>tests, DOC was not reported.</w:t>
            </w:r>
            <w:r w:rsidR="004E1E47">
              <w:rPr>
                <w:iCs/>
                <w:sz w:val="18"/>
                <w:szCs w:val="18"/>
              </w:rPr>
              <w:t xml:space="preserve"> It was assumed to be 0.5 mg/L for the purposes of adjusting the toxicity data to the standard DOC (thus resulting in no adjustment for those values). </w:t>
            </w:r>
            <w:r w:rsidR="00A25540">
              <w:rPr>
                <w:iCs/>
                <w:sz w:val="18"/>
                <w:szCs w:val="18"/>
              </w:rPr>
              <w:t xml:space="preserve"> The linear model recommended for the DGV adjustment </w:t>
            </w:r>
            <w:r w:rsidR="00262FAD">
              <w:rPr>
                <w:iCs/>
                <w:sz w:val="18"/>
                <w:szCs w:val="18"/>
              </w:rPr>
              <w:t xml:space="preserve">was not appropriate for this adjustment. The linear model </w:t>
            </w:r>
            <w:r w:rsidR="00A25540">
              <w:rPr>
                <w:iCs/>
                <w:sz w:val="18"/>
                <w:szCs w:val="18"/>
              </w:rPr>
              <w:t xml:space="preserve">implies there is a consistent absolute increase in EC10 value for a given increase in DOC. This </w:t>
            </w:r>
            <w:r w:rsidR="00262FAD">
              <w:rPr>
                <w:iCs/>
                <w:sz w:val="18"/>
                <w:szCs w:val="18"/>
              </w:rPr>
              <w:t xml:space="preserve">was </w:t>
            </w:r>
            <w:r w:rsidR="00A25540">
              <w:rPr>
                <w:iCs/>
                <w:sz w:val="18"/>
                <w:szCs w:val="18"/>
              </w:rPr>
              <w:t xml:space="preserve">not appropriate when applying to species where the sensitivity ranged from an EC10 of 0.2 </w:t>
            </w:r>
            <w:r w:rsidR="00A25540">
              <w:rPr>
                <w:rFonts w:cs="Calibri"/>
                <w:iCs/>
                <w:sz w:val="18"/>
                <w:szCs w:val="18"/>
              </w:rPr>
              <w:t>µ</w:t>
            </w:r>
            <w:r w:rsidR="00A25540">
              <w:rPr>
                <w:iCs/>
                <w:sz w:val="18"/>
                <w:szCs w:val="18"/>
              </w:rPr>
              <w:t>g/L to 30</w:t>
            </w:r>
            <w:r w:rsidR="00A25540">
              <w:rPr>
                <w:rFonts w:cs="Calibri"/>
                <w:iCs/>
                <w:sz w:val="18"/>
                <w:szCs w:val="18"/>
              </w:rPr>
              <w:t xml:space="preserve"> µ</w:t>
            </w:r>
            <w:r w:rsidR="00A25540">
              <w:rPr>
                <w:iCs/>
                <w:sz w:val="18"/>
                <w:szCs w:val="18"/>
              </w:rPr>
              <w:t>g/L</w:t>
            </w:r>
            <w:r w:rsidR="00262FAD">
              <w:rPr>
                <w:iCs/>
                <w:sz w:val="18"/>
                <w:szCs w:val="18"/>
              </w:rPr>
              <w:t xml:space="preserve">, as it </w:t>
            </w:r>
            <w:r w:rsidR="00033637">
              <w:rPr>
                <w:iCs/>
                <w:sz w:val="18"/>
                <w:szCs w:val="18"/>
              </w:rPr>
              <w:t>result</w:t>
            </w:r>
            <w:r w:rsidR="00262FAD">
              <w:rPr>
                <w:iCs/>
                <w:sz w:val="18"/>
                <w:szCs w:val="18"/>
              </w:rPr>
              <w:t>ed</w:t>
            </w:r>
            <w:r w:rsidR="00033637">
              <w:rPr>
                <w:iCs/>
                <w:sz w:val="18"/>
                <w:szCs w:val="18"/>
              </w:rPr>
              <w:t xml:space="preserve"> in large adjustments for the very sensitive species, at times resulting in negative values</w:t>
            </w:r>
            <w:r w:rsidR="00262FAD">
              <w:rPr>
                <w:iCs/>
                <w:sz w:val="18"/>
                <w:szCs w:val="18"/>
              </w:rPr>
              <w:t>. A power model was instead used to adjust the toxicity data. T</w:t>
            </w:r>
            <w:r w:rsidR="00033637">
              <w:rPr>
                <w:iCs/>
                <w:sz w:val="18"/>
                <w:szCs w:val="18"/>
              </w:rPr>
              <w:t>he power model assumed that the</w:t>
            </w:r>
            <w:r w:rsidR="00156758">
              <w:rPr>
                <w:iCs/>
                <w:sz w:val="18"/>
                <w:szCs w:val="18"/>
              </w:rPr>
              <w:t>re is a consistent proportional increase in the EC10 for each increase in D</w:t>
            </w:r>
            <w:r w:rsidR="00331AD7">
              <w:rPr>
                <w:iCs/>
                <w:sz w:val="18"/>
                <w:szCs w:val="18"/>
              </w:rPr>
              <w:t>OC (i.e. the slopes are the same between species).</w:t>
            </w:r>
            <w:r w:rsidR="00262FAD">
              <w:rPr>
                <w:iCs/>
                <w:sz w:val="18"/>
                <w:szCs w:val="18"/>
              </w:rPr>
              <w:t xml:space="preserve"> The power model was based on the same data as the linear adjustment model</w:t>
            </w:r>
            <w:r w:rsidR="005A63B7">
              <w:rPr>
                <w:iCs/>
                <w:sz w:val="18"/>
                <w:szCs w:val="18"/>
              </w:rPr>
              <w:t xml:space="preserve"> and had a slope of 0.6136.</w:t>
            </w:r>
          </w:p>
          <w:p w14:paraId="785D4E01" w14:textId="2E9FB644" w:rsidR="004671DC" w:rsidRDefault="005A63B7" w:rsidP="004671DC">
            <w:pPr>
              <w:spacing w:before="60" w:after="60"/>
              <w:rPr>
                <w:iCs/>
                <w:sz w:val="18"/>
                <w:szCs w:val="18"/>
              </w:rPr>
            </w:pPr>
            <w:r>
              <w:rPr>
                <w:iCs/>
                <w:sz w:val="18"/>
                <w:szCs w:val="18"/>
              </w:rPr>
              <w:t xml:space="preserve">The DGVs calculated for all different options are compared in the table below. There is minimal difference between the values, particularly for the 95% level of protection. </w:t>
            </w:r>
            <w:r w:rsidR="006F6C9F">
              <w:rPr>
                <w:iCs/>
                <w:sz w:val="18"/>
                <w:szCs w:val="18"/>
              </w:rPr>
              <w:t xml:space="preserve"> </w:t>
            </w:r>
            <w:r w:rsidR="00F621D0">
              <w:rPr>
                <w:iCs/>
                <w:sz w:val="18"/>
                <w:szCs w:val="18"/>
              </w:rPr>
              <w:t>Based on the lack of difference</w:t>
            </w:r>
            <w:r w:rsidR="00275297">
              <w:rPr>
                <w:iCs/>
                <w:sz w:val="18"/>
                <w:szCs w:val="18"/>
              </w:rPr>
              <w:t xml:space="preserve"> between options 1 and 2</w:t>
            </w:r>
            <w:r w:rsidR="00F621D0">
              <w:rPr>
                <w:iCs/>
                <w:sz w:val="18"/>
                <w:szCs w:val="18"/>
              </w:rPr>
              <w:t xml:space="preserve">, the </w:t>
            </w:r>
            <w:r w:rsidR="00DD6647">
              <w:rPr>
                <w:iCs/>
                <w:sz w:val="18"/>
                <w:szCs w:val="18"/>
              </w:rPr>
              <w:t xml:space="preserve">assumptions required to normalise </w:t>
            </w:r>
            <w:r w:rsidR="00275297">
              <w:rPr>
                <w:iCs/>
                <w:sz w:val="18"/>
                <w:szCs w:val="18"/>
              </w:rPr>
              <w:t xml:space="preserve">toxicity </w:t>
            </w:r>
            <w:r w:rsidR="00DD6647">
              <w:rPr>
                <w:iCs/>
                <w:sz w:val="18"/>
                <w:szCs w:val="18"/>
              </w:rPr>
              <w:t xml:space="preserve">data based on a </w:t>
            </w:r>
            <w:r w:rsidR="00275297">
              <w:rPr>
                <w:iCs/>
                <w:sz w:val="18"/>
                <w:szCs w:val="18"/>
              </w:rPr>
              <w:t xml:space="preserve">DOC </w:t>
            </w:r>
            <w:r w:rsidR="00DD6647">
              <w:rPr>
                <w:iCs/>
                <w:sz w:val="18"/>
                <w:szCs w:val="18"/>
              </w:rPr>
              <w:t xml:space="preserve">power model, </w:t>
            </w:r>
            <w:r w:rsidR="00275297">
              <w:rPr>
                <w:iCs/>
                <w:sz w:val="18"/>
                <w:szCs w:val="18"/>
              </w:rPr>
              <w:t xml:space="preserve">the </w:t>
            </w:r>
            <w:r w:rsidR="004F4838">
              <w:rPr>
                <w:iCs/>
                <w:sz w:val="18"/>
                <w:szCs w:val="18"/>
              </w:rPr>
              <w:t>original method was retained.</w:t>
            </w:r>
            <w:r w:rsidR="00DD6647">
              <w:rPr>
                <w:iCs/>
                <w:sz w:val="18"/>
                <w:szCs w:val="18"/>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GVs for copper in marine water"/>
              <w:tblDescription w:val="The DGVs calculated for all different options are compared in the table below. There is minimal difference between the values, particularly for the 95% level of protection.  Based on the lack of difference between options 1 and 2, the assumptions required to normalise toxicity data based on a DOC power model, the original method was retained. "/>
            </w:tblPr>
            <w:tblGrid>
              <w:gridCol w:w="1137"/>
              <w:gridCol w:w="1136"/>
              <w:gridCol w:w="1312"/>
              <w:gridCol w:w="1137"/>
              <w:gridCol w:w="1141"/>
            </w:tblGrid>
            <w:tr w:rsidR="00293B55" w:rsidRPr="00E54F7F" w14:paraId="62379E82" w14:textId="03DDCFFB" w:rsidTr="00667242">
              <w:trPr>
                <w:trHeight w:val="44"/>
                <w:tblHeader/>
              </w:trPr>
              <w:tc>
                <w:tcPr>
                  <w:tcW w:w="969" w:type="pct"/>
                  <w:tcBorders>
                    <w:top w:val="single" w:sz="12" w:space="0" w:color="auto"/>
                    <w:bottom w:val="single" w:sz="12" w:space="0" w:color="auto"/>
                  </w:tcBorders>
                </w:tcPr>
                <w:p w14:paraId="7C5E4F24" w14:textId="46CEC881" w:rsidR="00293B55" w:rsidRPr="004578C7" w:rsidRDefault="00293B55" w:rsidP="004578C7">
                  <w:pPr>
                    <w:pStyle w:val="TableHeading"/>
                    <w:spacing w:before="50" w:after="50"/>
                    <w:rPr>
                      <w:rFonts w:asciiTheme="minorHAnsi" w:hAnsiTheme="minorHAnsi" w:cstheme="minorHAnsi"/>
                      <w:szCs w:val="18"/>
                    </w:rPr>
                  </w:pPr>
                </w:p>
              </w:tc>
              <w:tc>
                <w:tcPr>
                  <w:tcW w:w="4031" w:type="pct"/>
                  <w:gridSpan w:val="4"/>
                  <w:tcBorders>
                    <w:top w:val="single" w:sz="12" w:space="0" w:color="auto"/>
                    <w:bottom w:val="single" w:sz="12" w:space="0" w:color="auto"/>
                  </w:tcBorders>
                </w:tcPr>
                <w:p w14:paraId="6F808B26" w14:textId="5B93DF52" w:rsidR="00293B55" w:rsidRPr="004578C7" w:rsidRDefault="00293B55" w:rsidP="004578C7">
                  <w:pPr>
                    <w:pStyle w:val="TableHeading"/>
                    <w:spacing w:before="50" w:after="50"/>
                    <w:jc w:val="center"/>
                    <w:rPr>
                      <w:rFonts w:asciiTheme="minorHAnsi" w:hAnsiTheme="minorHAnsi" w:cstheme="minorHAnsi"/>
                      <w:szCs w:val="18"/>
                    </w:rPr>
                  </w:pPr>
                  <w:r w:rsidRPr="004578C7">
                    <w:rPr>
                      <w:rFonts w:asciiTheme="minorHAnsi" w:hAnsiTheme="minorHAnsi" w:cstheme="minorHAnsi"/>
                      <w:szCs w:val="18"/>
                    </w:rPr>
                    <w:t>DGV for copper in marine water (</w:t>
                  </w:r>
                  <w:r w:rsidRPr="004578C7">
                    <w:rPr>
                      <w:rFonts w:asciiTheme="minorHAnsi" w:hAnsiTheme="minorHAnsi" w:cstheme="minorHAnsi"/>
                      <w:b w:val="0"/>
                      <w:szCs w:val="18"/>
                    </w:rPr>
                    <w:sym w:font="Symbol" w:char="F06D"/>
                  </w:r>
                  <w:r w:rsidRPr="004578C7">
                    <w:rPr>
                      <w:rFonts w:asciiTheme="minorHAnsi" w:hAnsiTheme="minorHAnsi" w:cstheme="minorHAnsi"/>
                      <w:szCs w:val="18"/>
                    </w:rPr>
                    <w:t xml:space="preserve">g/L) </w:t>
                  </w:r>
                  <w:r w:rsidRPr="004578C7">
                    <w:rPr>
                      <w:rStyle w:val="Strong"/>
                      <w:rFonts w:asciiTheme="minorHAnsi" w:hAnsiTheme="minorHAnsi" w:cstheme="minorHAnsi"/>
                      <w:sz w:val="18"/>
                      <w:szCs w:val="18"/>
                      <w:vertAlign w:val="superscript"/>
                    </w:rPr>
                    <w:t>a, b</w:t>
                  </w:r>
                </w:p>
              </w:tc>
            </w:tr>
            <w:tr w:rsidR="00293B55" w:rsidRPr="00E54F7F" w14:paraId="3A8CD653" w14:textId="77777777" w:rsidTr="00667242">
              <w:trPr>
                <w:trHeight w:val="44"/>
                <w:tblHeader/>
              </w:trPr>
              <w:tc>
                <w:tcPr>
                  <w:tcW w:w="969" w:type="pct"/>
                  <w:tcBorders>
                    <w:top w:val="single" w:sz="12" w:space="0" w:color="auto"/>
                    <w:bottom w:val="single" w:sz="12" w:space="0" w:color="auto"/>
                  </w:tcBorders>
                </w:tcPr>
                <w:p w14:paraId="71195F56" w14:textId="05EED342" w:rsidR="00293B55" w:rsidRPr="004578C7" w:rsidRDefault="00293B55" w:rsidP="000B1182">
                  <w:pPr>
                    <w:pStyle w:val="TableHeading"/>
                    <w:spacing w:before="50" w:after="50"/>
                    <w:rPr>
                      <w:rFonts w:asciiTheme="minorHAnsi" w:hAnsiTheme="minorHAnsi" w:cstheme="minorHAnsi"/>
                      <w:szCs w:val="18"/>
                    </w:rPr>
                  </w:pPr>
                  <w:r w:rsidRPr="004578C7">
                    <w:rPr>
                      <w:rFonts w:asciiTheme="minorHAnsi" w:hAnsiTheme="minorHAnsi" w:cstheme="minorHAnsi"/>
                      <w:szCs w:val="18"/>
                    </w:rPr>
                    <w:t>Level of species protection (%)</w:t>
                  </w:r>
                </w:p>
              </w:tc>
              <w:tc>
                <w:tcPr>
                  <w:tcW w:w="969" w:type="pct"/>
                  <w:tcBorders>
                    <w:top w:val="single" w:sz="12" w:space="0" w:color="auto"/>
                    <w:bottom w:val="single" w:sz="12" w:space="0" w:color="auto"/>
                  </w:tcBorders>
                </w:tcPr>
                <w:p w14:paraId="756B4F10" w14:textId="34BC3F14" w:rsidR="00293B55" w:rsidRPr="004578C7" w:rsidRDefault="00293B55" w:rsidP="000B1182">
                  <w:pPr>
                    <w:pStyle w:val="TableHeading"/>
                    <w:spacing w:before="50" w:after="50"/>
                    <w:jc w:val="center"/>
                    <w:rPr>
                      <w:rFonts w:asciiTheme="minorHAnsi" w:hAnsiTheme="minorHAnsi" w:cstheme="minorHAnsi"/>
                      <w:szCs w:val="18"/>
                    </w:rPr>
                  </w:pPr>
                  <w:r>
                    <w:rPr>
                      <w:rFonts w:asciiTheme="minorHAnsi" w:hAnsiTheme="minorHAnsi" w:cstheme="minorHAnsi"/>
                      <w:szCs w:val="18"/>
                    </w:rPr>
                    <w:t>Option 1: Draft DGV for public submission</w:t>
                  </w:r>
                </w:p>
              </w:tc>
              <w:tc>
                <w:tcPr>
                  <w:tcW w:w="1119" w:type="pct"/>
                  <w:tcBorders>
                    <w:top w:val="single" w:sz="12" w:space="0" w:color="auto"/>
                    <w:bottom w:val="single" w:sz="12" w:space="0" w:color="auto"/>
                  </w:tcBorders>
                </w:tcPr>
                <w:p w14:paraId="5B31E500" w14:textId="1937EBF1" w:rsidR="00293B55" w:rsidRDefault="00293B55" w:rsidP="000B1182">
                  <w:pPr>
                    <w:pStyle w:val="TableHeading"/>
                    <w:spacing w:before="50" w:after="50"/>
                    <w:jc w:val="center"/>
                    <w:rPr>
                      <w:rFonts w:cstheme="minorHAnsi"/>
                      <w:szCs w:val="18"/>
                    </w:rPr>
                  </w:pPr>
                  <w:r>
                    <w:rPr>
                      <w:rFonts w:asciiTheme="minorHAnsi" w:hAnsiTheme="minorHAnsi" w:cstheme="minorHAnsi"/>
                      <w:szCs w:val="18"/>
                    </w:rPr>
                    <w:t>Option 1: Updated draft DGV including new data</w:t>
                  </w:r>
                </w:p>
              </w:tc>
              <w:tc>
                <w:tcPr>
                  <w:tcW w:w="970" w:type="pct"/>
                  <w:tcBorders>
                    <w:top w:val="single" w:sz="12" w:space="0" w:color="auto"/>
                    <w:bottom w:val="single" w:sz="12" w:space="0" w:color="auto"/>
                  </w:tcBorders>
                </w:tcPr>
                <w:p w14:paraId="30C51D83" w14:textId="629A7972" w:rsidR="00293B55" w:rsidRPr="004578C7" w:rsidRDefault="00293B55" w:rsidP="000B1182">
                  <w:pPr>
                    <w:pStyle w:val="TableHeading"/>
                    <w:spacing w:before="50" w:after="50"/>
                    <w:jc w:val="center"/>
                    <w:rPr>
                      <w:rFonts w:asciiTheme="minorHAnsi" w:hAnsiTheme="minorHAnsi" w:cstheme="minorHAnsi"/>
                      <w:szCs w:val="18"/>
                    </w:rPr>
                  </w:pPr>
                  <w:r>
                    <w:rPr>
                      <w:rFonts w:asciiTheme="minorHAnsi" w:hAnsiTheme="minorHAnsi" w:cstheme="minorHAnsi"/>
                      <w:szCs w:val="18"/>
                    </w:rPr>
                    <w:t>Option 2: Including all data regardless of DOC</w:t>
                  </w:r>
                </w:p>
              </w:tc>
              <w:tc>
                <w:tcPr>
                  <w:tcW w:w="973" w:type="pct"/>
                  <w:tcBorders>
                    <w:top w:val="single" w:sz="12" w:space="0" w:color="auto"/>
                    <w:bottom w:val="single" w:sz="12" w:space="0" w:color="auto"/>
                  </w:tcBorders>
                </w:tcPr>
                <w:p w14:paraId="1509F871" w14:textId="1F8E38CB" w:rsidR="00293B55" w:rsidRPr="004578C7" w:rsidRDefault="00293B55" w:rsidP="000B1182">
                  <w:pPr>
                    <w:pStyle w:val="TableHeading"/>
                    <w:spacing w:before="50" w:after="50"/>
                    <w:jc w:val="center"/>
                    <w:rPr>
                      <w:rFonts w:asciiTheme="minorHAnsi" w:hAnsiTheme="minorHAnsi" w:cstheme="minorHAnsi"/>
                      <w:szCs w:val="18"/>
                    </w:rPr>
                  </w:pPr>
                  <w:r>
                    <w:rPr>
                      <w:rFonts w:asciiTheme="minorHAnsi" w:hAnsiTheme="minorHAnsi" w:cstheme="minorHAnsi"/>
                      <w:szCs w:val="18"/>
                    </w:rPr>
                    <w:t>Option 3: Normalising data to DOC 0.5 mg/L</w:t>
                  </w:r>
                </w:p>
              </w:tc>
            </w:tr>
            <w:tr w:rsidR="00293B55" w:rsidRPr="00E54F7F" w14:paraId="4E23188D" w14:textId="77777777" w:rsidTr="00667242">
              <w:trPr>
                <w:trHeight w:val="44"/>
                <w:tblHeader/>
              </w:trPr>
              <w:tc>
                <w:tcPr>
                  <w:tcW w:w="969" w:type="pct"/>
                  <w:tcBorders>
                    <w:top w:val="single" w:sz="12" w:space="0" w:color="auto"/>
                    <w:bottom w:val="single" w:sz="12" w:space="0" w:color="auto"/>
                  </w:tcBorders>
                </w:tcPr>
                <w:p w14:paraId="13253ACB" w14:textId="1A87C659" w:rsidR="00293B55" w:rsidRPr="00293B55" w:rsidRDefault="00293B55" w:rsidP="000B1182">
                  <w:pPr>
                    <w:pStyle w:val="TableHeading"/>
                    <w:spacing w:before="50" w:after="50"/>
                    <w:rPr>
                      <w:rFonts w:cstheme="minorHAnsi"/>
                      <w:szCs w:val="18"/>
                    </w:rPr>
                  </w:pPr>
                  <w:r w:rsidRPr="00293B55">
                    <w:rPr>
                      <w:rFonts w:asciiTheme="minorHAnsi" w:hAnsiTheme="minorHAnsi" w:cstheme="minorHAnsi"/>
                      <w:szCs w:val="18"/>
                    </w:rPr>
                    <w:t>No. species</w:t>
                  </w:r>
                </w:p>
              </w:tc>
              <w:tc>
                <w:tcPr>
                  <w:tcW w:w="969" w:type="pct"/>
                  <w:tcBorders>
                    <w:top w:val="single" w:sz="12" w:space="0" w:color="auto"/>
                    <w:bottom w:val="single" w:sz="12" w:space="0" w:color="auto"/>
                  </w:tcBorders>
                </w:tcPr>
                <w:p w14:paraId="164D3C3D" w14:textId="50931B5E" w:rsidR="00293B55" w:rsidRPr="00293B55" w:rsidRDefault="00293B55" w:rsidP="00FC3061">
                  <w:pPr>
                    <w:pStyle w:val="TableHeading"/>
                    <w:spacing w:before="50" w:after="50"/>
                    <w:jc w:val="center"/>
                    <w:rPr>
                      <w:rFonts w:asciiTheme="minorHAnsi" w:hAnsiTheme="minorHAnsi" w:cstheme="minorHAnsi"/>
                      <w:szCs w:val="18"/>
                    </w:rPr>
                  </w:pPr>
                  <w:r>
                    <w:rPr>
                      <w:rFonts w:asciiTheme="minorHAnsi" w:hAnsiTheme="minorHAnsi" w:cstheme="minorHAnsi"/>
                      <w:szCs w:val="18"/>
                    </w:rPr>
                    <w:t>32</w:t>
                  </w:r>
                </w:p>
              </w:tc>
              <w:tc>
                <w:tcPr>
                  <w:tcW w:w="1119" w:type="pct"/>
                  <w:tcBorders>
                    <w:top w:val="single" w:sz="12" w:space="0" w:color="auto"/>
                    <w:bottom w:val="single" w:sz="12" w:space="0" w:color="auto"/>
                  </w:tcBorders>
                </w:tcPr>
                <w:p w14:paraId="2C0CB65F" w14:textId="76CEA61E" w:rsidR="00293B55" w:rsidRPr="00FC3061" w:rsidRDefault="00667242" w:rsidP="000B1182">
                  <w:pPr>
                    <w:pStyle w:val="TableHeading"/>
                    <w:spacing w:before="50" w:after="50"/>
                    <w:jc w:val="center"/>
                    <w:rPr>
                      <w:rFonts w:asciiTheme="minorHAnsi" w:hAnsiTheme="minorHAnsi" w:cstheme="minorHAnsi"/>
                      <w:szCs w:val="18"/>
                    </w:rPr>
                  </w:pPr>
                  <w:r>
                    <w:rPr>
                      <w:rFonts w:asciiTheme="minorHAnsi" w:hAnsiTheme="minorHAnsi" w:cstheme="minorHAnsi"/>
                      <w:szCs w:val="18"/>
                    </w:rPr>
                    <w:t>45</w:t>
                  </w:r>
                </w:p>
              </w:tc>
              <w:tc>
                <w:tcPr>
                  <w:tcW w:w="970" w:type="pct"/>
                  <w:tcBorders>
                    <w:top w:val="single" w:sz="12" w:space="0" w:color="auto"/>
                    <w:bottom w:val="single" w:sz="12" w:space="0" w:color="auto"/>
                  </w:tcBorders>
                </w:tcPr>
                <w:p w14:paraId="7EBD158D" w14:textId="6B39A306" w:rsidR="00293B55" w:rsidRPr="00FC3061" w:rsidRDefault="00667242" w:rsidP="000B1182">
                  <w:pPr>
                    <w:pStyle w:val="TableHeading"/>
                    <w:spacing w:before="50" w:after="50"/>
                    <w:jc w:val="center"/>
                    <w:rPr>
                      <w:rFonts w:asciiTheme="minorHAnsi" w:hAnsiTheme="minorHAnsi" w:cstheme="minorHAnsi"/>
                      <w:szCs w:val="18"/>
                    </w:rPr>
                  </w:pPr>
                  <w:r>
                    <w:rPr>
                      <w:rFonts w:asciiTheme="minorHAnsi" w:hAnsiTheme="minorHAnsi" w:cstheme="minorHAnsi"/>
                      <w:szCs w:val="18"/>
                    </w:rPr>
                    <w:t>45</w:t>
                  </w:r>
                </w:p>
              </w:tc>
              <w:tc>
                <w:tcPr>
                  <w:tcW w:w="973" w:type="pct"/>
                  <w:tcBorders>
                    <w:top w:val="single" w:sz="12" w:space="0" w:color="auto"/>
                    <w:bottom w:val="single" w:sz="12" w:space="0" w:color="auto"/>
                  </w:tcBorders>
                </w:tcPr>
                <w:p w14:paraId="36F0C785" w14:textId="3161632F" w:rsidR="00293B55" w:rsidRPr="00FC3061" w:rsidRDefault="00667242" w:rsidP="000B1182">
                  <w:pPr>
                    <w:pStyle w:val="TableHeading"/>
                    <w:spacing w:before="50" w:after="50"/>
                    <w:jc w:val="center"/>
                    <w:rPr>
                      <w:rFonts w:asciiTheme="minorHAnsi" w:hAnsiTheme="minorHAnsi" w:cstheme="minorHAnsi"/>
                      <w:szCs w:val="18"/>
                    </w:rPr>
                  </w:pPr>
                  <w:r>
                    <w:rPr>
                      <w:rFonts w:asciiTheme="minorHAnsi" w:hAnsiTheme="minorHAnsi" w:cstheme="minorHAnsi"/>
                      <w:szCs w:val="18"/>
                    </w:rPr>
                    <w:t>45</w:t>
                  </w:r>
                </w:p>
              </w:tc>
            </w:tr>
            <w:tr w:rsidR="00667242" w:rsidRPr="00E54F7F" w14:paraId="29336D6D" w14:textId="24ABE9EC" w:rsidTr="00667242">
              <w:trPr>
                <w:trHeight w:val="44"/>
              </w:trPr>
              <w:tc>
                <w:tcPr>
                  <w:tcW w:w="969" w:type="pct"/>
                  <w:tcBorders>
                    <w:top w:val="single" w:sz="12" w:space="0" w:color="auto"/>
                    <w:bottom w:val="single" w:sz="4" w:space="0" w:color="auto"/>
                  </w:tcBorders>
                </w:tcPr>
                <w:p w14:paraId="0AC8BA3F" w14:textId="77777777" w:rsidR="00667242" w:rsidRPr="004578C7" w:rsidRDefault="00667242" w:rsidP="00667242">
                  <w:pPr>
                    <w:pStyle w:val="TableText"/>
                    <w:spacing w:before="50" w:after="50"/>
                    <w:ind w:firstLine="459"/>
                    <w:rPr>
                      <w:rFonts w:asciiTheme="minorHAnsi" w:hAnsiTheme="minorHAnsi" w:cstheme="minorHAnsi"/>
                      <w:szCs w:val="18"/>
                    </w:rPr>
                  </w:pPr>
                  <w:r w:rsidRPr="004578C7">
                    <w:rPr>
                      <w:rFonts w:asciiTheme="minorHAnsi" w:hAnsiTheme="minorHAnsi" w:cstheme="minorHAnsi"/>
                      <w:szCs w:val="18"/>
                    </w:rPr>
                    <w:t>99</w:t>
                  </w:r>
                </w:p>
              </w:tc>
              <w:tc>
                <w:tcPr>
                  <w:tcW w:w="969" w:type="pct"/>
                  <w:tcBorders>
                    <w:top w:val="single" w:sz="12" w:space="0" w:color="auto"/>
                    <w:bottom w:val="single" w:sz="4" w:space="0" w:color="auto"/>
                  </w:tcBorders>
                </w:tcPr>
                <w:p w14:paraId="519DAE45" w14:textId="70798E93" w:rsidR="00667242" w:rsidRPr="004578C7" w:rsidRDefault="00667242" w:rsidP="00667242">
                  <w:pPr>
                    <w:pStyle w:val="TableText"/>
                    <w:spacing w:before="50" w:after="50"/>
                    <w:ind w:right="457"/>
                    <w:jc w:val="right"/>
                    <w:rPr>
                      <w:rFonts w:asciiTheme="minorHAnsi" w:hAnsiTheme="minorHAnsi" w:cstheme="minorHAnsi"/>
                      <w:szCs w:val="18"/>
                    </w:rPr>
                  </w:pPr>
                  <w:r w:rsidRPr="004578C7">
                    <w:rPr>
                      <w:rFonts w:asciiTheme="minorHAnsi" w:hAnsiTheme="minorHAnsi" w:cstheme="minorHAnsi"/>
                      <w:szCs w:val="18"/>
                    </w:rPr>
                    <w:t>0.12</w:t>
                  </w:r>
                </w:p>
              </w:tc>
              <w:tc>
                <w:tcPr>
                  <w:tcW w:w="1119" w:type="pct"/>
                  <w:tcBorders>
                    <w:top w:val="single" w:sz="12" w:space="0" w:color="auto"/>
                    <w:bottom w:val="single" w:sz="4" w:space="0" w:color="auto"/>
                  </w:tcBorders>
                </w:tcPr>
                <w:p w14:paraId="29CE3875" w14:textId="32497C66" w:rsidR="00667242" w:rsidRPr="00667242" w:rsidRDefault="00667242" w:rsidP="00EA3A3E">
                  <w:pPr>
                    <w:pStyle w:val="TableText"/>
                    <w:spacing w:before="50" w:after="50"/>
                    <w:ind w:right="457"/>
                    <w:jc w:val="center"/>
                    <w:rPr>
                      <w:rFonts w:asciiTheme="minorHAnsi" w:hAnsiTheme="minorHAnsi" w:cstheme="minorHAnsi"/>
                      <w:szCs w:val="18"/>
                    </w:rPr>
                  </w:pPr>
                  <w:r w:rsidRPr="009B1441">
                    <w:rPr>
                      <w:rFonts w:cstheme="minorHAnsi"/>
                      <w:szCs w:val="18"/>
                    </w:rPr>
                    <w:t>0.19</w:t>
                  </w:r>
                </w:p>
              </w:tc>
              <w:tc>
                <w:tcPr>
                  <w:tcW w:w="970" w:type="pct"/>
                  <w:tcBorders>
                    <w:top w:val="single" w:sz="12" w:space="0" w:color="auto"/>
                    <w:bottom w:val="single" w:sz="4" w:space="0" w:color="auto"/>
                  </w:tcBorders>
                </w:tcPr>
                <w:p w14:paraId="4577111C" w14:textId="3C96F0CE" w:rsidR="00667242" w:rsidRPr="00667242" w:rsidRDefault="00667242" w:rsidP="00EA3A3E">
                  <w:pPr>
                    <w:pStyle w:val="TableText"/>
                    <w:spacing w:before="50" w:after="50"/>
                    <w:ind w:right="457"/>
                    <w:jc w:val="center"/>
                    <w:rPr>
                      <w:rFonts w:asciiTheme="minorHAnsi" w:hAnsiTheme="minorHAnsi" w:cstheme="minorHAnsi"/>
                      <w:szCs w:val="18"/>
                    </w:rPr>
                  </w:pPr>
                  <w:r w:rsidRPr="00EA3A3E">
                    <w:rPr>
                      <w:rFonts w:cstheme="minorHAnsi"/>
                      <w:szCs w:val="18"/>
                    </w:rPr>
                    <w:t>0.20</w:t>
                  </w:r>
                </w:p>
              </w:tc>
              <w:tc>
                <w:tcPr>
                  <w:tcW w:w="973" w:type="pct"/>
                  <w:tcBorders>
                    <w:top w:val="single" w:sz="12" w:space="0" w:color="auto"/>
                    <w:bottom w:val="single" w:sz="4" w:space="0" w:color="auto"/>
                  </w:tcBorders>
                </w:tcPr>
                <w:p w14:paraId="7239BF59" w14:textId="7B934A73" w:rsidR="00667242" w:rsidRPr="00667242" w:rsidRDefault="00667242" w:rsidP="00EA3A3E">
                  <w:pPr>
                    <w:pStyle w:val="TableText"/>
                    <w:spacing w:before="50" w:after="50"/>
                    <w:ind w:right="457"/>
                    <w:jc w:val="center"/>
                    <w:rPr>
                      <w:rFonts w:asciiTheme="minorHAnsi" w:hAnsiTheme="minorHAnsi" w:cstheme="minorHAnsi"/>
                      <w:szCs w:val="18"/>
                    </w:rPr>
                  </w:pPr>
                  <w:r w:rsidRPr="00EA3A3E">
                    <w:rPr>
                      <w:rFonts w:cstheme="minorHAnsi"/>
                      <w:szCs w:val="18"/>
                    </w:rPr>
                    <w:t>0.22</w:t>
                  </w:r>
                </w:p>
              </w:tc>
            </w:tr>
            <w:tr w:rsidR="00667242" w:rsidRPr="00E54F7F" w14:paraId="1CBABFC6" w14:textId="70883364" w:rsidTr="00667242">
              <w:trPr>
                <w:trHeight w:val="284"/>
              </w:trPr>
              <w:tc>
                <w:tcPr>
                  <w:tcW w:w="969" w:type="pct"/>
                  <w:tcBorders>
                    <w:top w:val="single" w:sz="4" w:space="0" w:color="auto"/>
                    <w:bottom w:val="single" w:sz="4" w:space="0" w:color="auto"/>
                  </w:tcBorders>
                </w:tcPr>
                <w:p w14:paraId="34F9B8B4" w14:textId="77777777" w:rsidR="00667242" w:rsidRPr="004578C7" w:rsidRDefault="00667242" w:rsidP="00667242">
                  <w:pPr>
                    <w:pStyle w:val="TableText"/>
                    <w:spacing w:before="50" w:after="50"/>
                    <w:ind w:firstLine="459"/>
                    <w:rPr>
                      <w:rFonts w:asciiTheme="minorHAnsi" w:hAnsiTheme="minorHAnsi" w:cstheme="minorHAnsi"/>
                      <w:szCs w:val="18"/>
                    </w:rPr>
                  </w:pPr>
                  <w:r w:rsidRPr="004578C7">
                    <w:rPr>
                      <w:rFonts w:asciiTheme="minorHAnsi" w:hAnsiTheme="minorHAnsi" w:cstheme="minorHAnsi"/>
                      <w:szCs w:val="18"/>
                    </w:rPr>
                    <w:lastRenderedPageBreak/>
                    <w:t>95</w:t>
                  </w:r>
                </w:p>
              </w:tc>
              <w:tc>
                <w:tcPr>
                  <w:tcW w:w="969" w:type="pct"/>
                  <w:tcBorders>
                    <w:top w:val="single" w:sz="4" w:space="0" w:color="auto"/>
                    <w:bottom w:val="single" w:sz="4" w:space="0" w:color="auto"/>
                  </w:tcBorders>
                </w:tcPr>
                <w:p w14:paraId="6B2F9D84" w14:textId="025F7EF7" w:rsidR="00667242" w:rsidRPr="004578C7" w:rsidRDefault="00667242" w:rsidP="00667242">
                  <w:pPr>
                    <w:pStyle w:val="TableText"/>
                    <w:spacing w:before="50" w:after="50"/>
                    <w:ind w:right="457"/>
                    <w:jc w:val="right"/>
                    <w:rPr>
                      <w:rFonts w:asciiTheme="minorHAnsi" w:hAnsiTheme="minorHAnsi" w:cstheme="minorHAnsi"/>
                      <w:szCs w:val="18"/>
                    </w:rPr>
                  </w:pPr>
                  <w:r w:rsidRPr="004578C7">
                    <w:rPr>
                      <w:rFonts w:asciiTheme="minorHAnsi" w:hAnsiTheme="minorHAnsi" w:cstheme="minorHAnsi"/>
                      <w:szCs w:val="18"/>
                    </w:rPr>
                    <w:t>0.40</w:t>
                  </w:r>
                </w:p>
              </w:tc>
              <w:tc>
                <w:tcPr>
                  <w:tcW w:w="1119" w:type="pct"/>
                  <w:tcBorders>
                    <w:top w:val="single" w:sz="4" w:space="0" w:color="auto"/>
                    <w:bottom w:val="single" w:sz="4" w:space="0" w:color="auto"/>
                  </w:tcBorders>
                </w:tcPr>
                <w:p w14:paraId="0E3C2349" w14:textId="1BF33885" w:rsidR="00667242" w:rsidRPr="00667242" w:rsidRDefault="00667242" w:rsidP="00EA3A3E">
                  <w:pPr>
                    <w:pStyle w:val="TableText"/>
                    <w:spacing w:before="50" w:after="50"/>
                    <w:ind w:right="457"/>
                    <w:jc w:val="center"/>
                    <w:rPr>
                      <w:rFonts w:asciiTheme="minorHAnsi" w:hAnsiTheme="minorHAnsi" w:cstheme="minorHAnsi"/>
                      <w:szCs w:val="18"/>
                    </w:rPr>
                  </w:pPr>
                  <w:r w:rsidRPr="009B1441">
                    <w:rPr>
                      <w:rFonts w:cstheme="minorHAnsi"/>
                      <w:szCs w:val="18"/>
                    </w:rPr>
                    <w:t>0.55</w:t>
                  </w:r>
                </w:p>
              </w:tc>
              <w:tc>
                <w:tcPr>
                  <w:tcW w:w="970" w:type="pct"/>
                  <w:tcBorders>
                    <w:top w:val="single" w:sz="4" w:space="0" w:color="auto"/>
                    <w:bottom w:val="single" w:sz="4" w:space="0" w:color="auto"/>
                  </w:tcBorders>
                </w:tcPr>
                <w:p w14:paraId="70FC48EA" w14:textId="2562A894" w:rsidR="00667242" w:rsidRPr="00667242" w:rsidRDefault="00667242" w:rsidP="00EA3A3E">
                  <w:pPr>
                    <w:pStyle w:val="TableText"/>
                    <w:spacing w:before="50" w:after="50"/>
                    <w:ind w:right="457"/>
                    <w:jc w:val="center"/>
                    <w:rPr>
                      <w:rFonts w:asciiTheme="minorHAnsi" w:hAnsiTheme="minorHAnsi" w:cstheme="minorHAnsi"/>
                      <w:szCs w:val="18"/>
                    </w:rPr>
                  </w:pPr>
                  <w:r w:rsidRPr="00EA3A3E">
                    <w:rPr>
                      <w:rFonts w:cstheme="minorHAnsi"/>
                      <w:szCs w:val="18"/>
                    </w:rPr>
                    <w:t>0.66</w:t>
                  </w:r>
                </w:p>
              </w:tc>
              <w:tc>
                <w:tcPr>
                  <w:tcW w:w="973" w:type="pct"/>
                  <w:tcBorders>
                    <w:top w:val="single" w:sz="4" w:space="0" w:color="auto"/>
                    <w:bottom w:val="single" w:sz="4" w:space="0" w:color="auto"/>
                  </w:tcBorders>
                </w:tcPr>
                <w:p w14:paraId="34286DCD" w14:textId="072CD21A" w:rsidR="00667242" w:rsidRPr="00667242" w:rsidRDefault="00667242" w:rsidP="00EA3A3E">
                  <w:pPr>
                    <w:pStyle w:val="TableText"/>
                    <w:spacing w:before="50" w:after="50"/>
                    <w:ind w:right="457"/>
                    <w:jc w:val="center"/>
                    <w:rPr>
                      <w:rFonts w:asciiTheme="minorHAnsi" w:hAnsiTheme="minorHAnsi" w:cstheme="minorHAnsi"/>
                      <w:szCs w:val="18"/>
                    </w:rPr>
                  </w:pPr>
                  <w:r w:rsidRPr="00EA3A3E">
                    <w:rPr>
                      <w:rFonts w:cstheme="minorHAnsi"/>
                      <w:szCs w:val="18"/>
                    </w:rPr>
                    <w:t>0.53</w:t>
                  </w:r>
                </w:p>
              </w:tc>
            </w:tr>
            <w:tr w:rsidR="00667242" w:rsidRPr="00E54F7F" w14:paraId="0E504C3C" w14:textId="69426089" w:rsidTr="00667242">
              <w:trPr>
                <w:trHeight w:val="284"/>
              </w:trPr>
              <w:tc>
                <w:tcPr>
                  <w:tcW w:w="969" w:type="pct"/>
                  <w:tcBorders>
                    <w:top w:val="single" w:sz="4" w:space="0" w:color="auto"/>
                    <w:bottom w:val="single" w:sz="4" w:space="0" w:color="auto"/>
                  </w:tcBorders>
                </w:tcPr>
                <w:p w14:paraId="435BDB48" w14:textId="77777777" w:rsidR="00667242" w:rsidRPr="004578C7" w:rsidRDefault="00667242" w:rsidP="00667242">
                  <w:pPr>
                    <w:pStyle w:val="TableText"/>
                    <w:spacing w:before="50" w:after="50"/>
                    <w:ind w:firstLine="459"/>
                    <w:rPr>
                      <w:rFonts w:asciiTheme="minorHAnsi" w:hAnsiTheme="minorHAnsi" w:cstheme="minorHAnsi"/>
                      <w:szCs w:val="18"/>
                    </w:rPr>
                  </w:pPr>
                  <w:r w:rsidRPr="004578C7">
                    <w:rPr>
                      <w:rFonts w:asciiTheme="minorHAnsi" w:hAnsiTheme="minorHAnsi" w:cstheme="minorHAnsi"/>
                      <w:szCs w:val="18"/>
                    </w:rPr>
                    <w:t>90</w:t>
                  </w:r>
                </w:p>
              </w:tc>
              <w:tc>
                <w:tcPr>
                  <w:tcW w:w="969" w:type="pct"/>
                  <w:tcBorders>
                    <w:top w:val="single" w:sz="4" w:space="0" w:color="auto"/>
                    <w:bottom w:val="single" w:sz="4" w:space="0" w:color="auto"/>
                  </w:tcBorders>
                </w:tcPr>
                <w:p w14:paraId="35F83685" w14:textId="24966A07" w:rsidR="00667242" w:rsidRPr="004578C7" w:rsidRDefault="00667242" w:rsidP="00667242">
                  <w:pPr>
                    <w:pStyle w:val="TableText"/>
                    <w:spacing w:before="50" w:after="50"/>
                    <w:ind w:right="457"/>
                    <w:jc w:val="right"/>
                    <w:rPr>
                      <w:rFonts w:asciiTheme="minorHAnsi" w:hAnsiTheme="minorHAnsi" w:cstheme="minorHAnsi"/>
                      <w:szCs w:val="18"/>
                    </w:rPr>
                  </w:pPr>
                  <w:r w:rsidRPr="004578C7">
                    <w:rPr>
                      <w:rFonts w:asciiTheme="minorHAnsi" w:hAnsiTheme="minorHAnsi" w:cstheme="minorHAnsi"/>
                      <w:szCs w:val="18"/>
                    </w:rPr>
                    <w:t>0.72</w:t>
                  </w:r>
                </w:p>
              </w:tc>
              <w:tc>
                <w:tcPr>
                  <w:tcW w:w="1119" w:type="pct"/>
                  <w:tcBorders>
                    <w:top w:val="single" w:sz="4" w:space="0" w:color="auto"/>
                    <w:bottom w:val="single" w:sz="4" w:space="0" w:color="auto"/>
                  </w:tcBorders>
                </w:tcPr>
                <w:p w14:paraId="05C25077" w14:textId="4F3E8719" w:rsidR="00667242" w:rsidRPr="00667242" w:rsidRDefault="00667242" w:rsidP="00EA3A3E">
                  <w:pPr>
                    <w:pStyle w:val="TableText"/>
                    <w:spacing w:before="50" w:after="50"/>
                    <w:ind w:right="457"/>
                    <w:jc w:val="center"/>
                    <w:rPr>
                      <w:rFonts w:asciiTheme="minorHAnsi" w:hAnsiTheme="minorHAnsi" w:cstheme="minorHAnsi"/>
                      <w:szCs w:val="18"/>
                    </w:rPr>
                  </w:pPr>
                  <w:r w:rsidRPr="009B1441">
                    <w:rPr>
                      <w:rFonts w:cstheme="minorHAnsi"/>
                      <w:szCs w:val="18"/>
                    </w:rPr>
                    <w:t>0.91</w:t>
                  </w:r>
                </w:p>
              </w:tc>
              <w:tc>
                <w:tcPr>
                  <w:tcW w:w="970" w:type="pct"/>
                  <w:tcBorders>
                    <w:top w:val="single" w:sz="4" w:space="0" w:color="auto"/>
                    <w:bottom w:val="single" w:sz="4" w:space="0" w:color="auto"/>
                  </w:tcBorders>
                </w:tcPr>
                <w:p w14:paraId="570ACC9D" w14:textId="2CD1A6B2" w:rsidR="00667242" w:rsidRPr="00667242" w:rsidRDefault="00667242" w:rsidP="00EA3A3E">
                  <w:pPr>
                    <w:pStyle w:val="TableText"/>
                    <w:spacing w:before="50" w:after="50"/>
                    <w:ind w:right="457"/>
                    <w:jc w:val="center"/>
                    <w:rPr>
                      <w:rFonts w:asciiTheme="minorHAnsi" w:hAnsiTheme="minorHAnsi" w:cstheme="minorHAnsi"/>
                      <w:szCs w:val="18"/>
                    </w:rPr>
                  </w:pPr>
                  <w:r w:rsidRPr="00EA3A3E">
                    <w:rPr>
                      <w:rFonts w:cstheme="minorHAnsi"/>
                      <w:szCs w:val="18"/>
                    </w:rPr>
                    <w:t>0.92</w:t>
                  </w:r>
                </w:p>
              </w:tc>
              <w:tc>
                <w:tcPr>
                  <w:tcW w:w="973" w:type="pct"/>
                  <w:tcBorders>
                    <w:top w:val="single" w:sz="4" w:space="0" w:color="auto"/>
                    <w:bottom w:val="single" w:sz="4" w:space="0" w:color="auto"/>
                  </w:tcBorders>
                </w:tcPr>
                <w:p w14:paraId="327E4BF3" w14:textId="2979EF85" w:rsidR="00667242" w:rsidRPr="00667242" w:rsidRDefault="00667242" w:rsidP="00EA3A3E">
                  <w:pPr>
                    <w:pStyle w:val="TableText"/>
                    <w:spacing w:before="50" w:after="50"/>
                    <w:ind w:right="457"/>
                    <w:jc w:val="center"/>
                    <w:rPr>
                      <w:rFonts w:asciiTheme="minorHAnsi" w:hAnsiTheme="minorHAnsi" w:cstheme="minorHAnsi"/>
                      <w:szCs w:val="18"/>
                    </w:rPr>
                  </w:pPr>
                  <w:r w:rsidRPr="00EA3A3E">
                    <w:rPr>
                      <w:rFonts w:cstheme="minorHAnsi"/>
                      <w:szCs w:val="18"/>
                    </w:rPr>
                    <w:t>0.83</w:t>
                  </w:r>
                </w:p>
              </w:tc>
            </w:tr>
            <w:tr w:rsidR="00667242" w:rsidRPr="00E54F7F" w14:paraId="0B62143A" w14:textId="209D9FA2" w:rsidTr="00667242">
              <w:trPr>
                <w:trHeight w:val="64"/>
              </w:trPr>
              <w:tc>
                <w:tcPr>
                  <w:tcW w:w="969" w:type="pct"/>
                  <w:tcBorders>
                    <w:top w:val="single" w:sz="4" w:space="0" w:color="auto"/>
                    <w:bottom w:val="single" w:sz="12" w:space="0" w:color="auto"/>
                  </w:tcBorders>
                </w:tcPr>
                <w:p w14:paraId="39894AF3" w14:textId="77777777" w:rsidR="00667242" w:rsidRPr="004578C7" w:rsidRDefault="00667242" w:rsidP="00667242">
                  <w:pPr>
                    <w:pStyle w:val="TableText"/>
                    <w:spacing w:before="50" w:after="50"/>
                    <w:ind w:firstLine="459"/>
                    <w:rPr>
                      <w:rFonts w:asciiTheme="minorHAnsi" w:hAnsiTheme="minorHAnsi" w:cstheme="minorHAnsi"/>
                      <w:szCs w:val="18"/>
                    </w:rPr>
                  </w:pPr>
                  <w:r w:rsidRPr="004578C7">
                    <w:rPr>
                      <w:rFonts w:asciiTheme="minorHAnsi" w:hAnsiTheme="minorHAnsi" w:cstheme="minorHAnsi"/>
                      <w:szCs w:val="18"/>
                    </w:rPr>
                    <w:t>80</w:t>
                  </w:r>
                </w:p>
              </w:tc>
              <w:tc>
                <w:tcPr>
                  <w:tcW w:w="969" w:type="pct"/>
                  <w:tcBorders>
                    <w:top w:val="single" w:sz="4" w:space="0" w:color="auto"/>
                    <w:bottom w:val="single" w:sz="12" w:space="0" w:color="auto"/>
                  </w:tcBorders>
                </w:tcPr>
                <w:p w14:paraId="630D2C1C" w14:textId="396E4D09" w:rsidR="00667242" w:rsidRPr="004578C7" w:rsidRDefault="00667242" w:rsidP="00667242">
                  <w:pPr>
                    <w:pStyle w:val="TableText"/>
                    <w:spacing w:before="50" w:after="50"/>
                    <w:ind w:right="457"/>
                    <w:jc w:val="right"/>
                    <w:rPr>
                      <w:rFonts w:asciiTheme="minorHAnsi" w:hAnsiTheme="minorHAnsi" w:cstheme="minorHAnsi"/>
                      <w:szCs w:val="18"/>
                    </w:rPr>
                  </w:pPr>
                  <w:r w:rsidRPr="004578C7">
                    <w:rPr>
                      <w:rFonts w:asciiTheme="minorHAnsi" w:hAnsiTheme="minorHAnsi" w:cstheme="minorHAnsi"/>
                      <w:szCs w:val="18"/>
                    </w:rPr>
                    <w:t>1.4</w:t>
                  </w:r>
                </w:p>
              </w:tc>
              <w:tc>
                <w:tcPr>
                  <w:tcW w:w="1119" w:type="pct"/>
                  <w:tcBorders>
                    <w:top w:val="single" w:sz="4" w:space="0" w:color="auto"/>
                    <w:bottom w:val="single" w:sz="12" w:space="0" w:color="auto"/>
                  </w:tcBorders>
                </w:tcPr>
                <w:p w14:paraId="15693C4D" w14:textId="2F292787" w:rsidR="00667242" w:rsidRPr="00667242" w:rsidRDefault="00667242" w:rsidP="00EA3A3E">
                  <w:pPr>
                    <w:pStyle w:val="TableText"/>
                    <w:spacing w:before="50" w:after="50"/>
                    <w:ind w:right="457"/>
                    <w:jc w:val="center"/>
                    <w:rPr>
                      <w:rFonts w:asciiTheme="minorHAnsi" w:hAnsiTheme="minorHAnsi" w:cstheme="minorHAnsi"/>
                      <w:szCs w:val="18"/>
                    </w:rPr>
                  </w:pPr>
                  <w:r w:rsidRPr="009B1441">
                    <w:rPr>
                      <w:rFonts w:cstheme="minorHAnsi"/>
                      <w:szCs w:val="18"/>
                    </w:rPr>
                    <w:t>1.60</w:t>
                  </w:r>
                </w:p>
              </w:tc>
              <w:tc>
                <w:tcPr>
                  <w:tcW w:w="970" w:type="pct"/>
                  <w:tcBorders>
                    <w:top w:val="single" w:sz="4" w:space="0" w:color="auto"/>
                    <w:bottom w:val="single" w:sz="12" w:space="0" w:color="auto"/>
                  </w:tcBorders>
                </w:tcPr>
                <w:p w14:paraId="3602E107" w14:textId="1065B6AC" w:rsidR="00667242" w:rsidRPr="00667242" w:rsidRDefault="00667242" w:rsidP="00EA3A3E">
                  <w:pPr>
                    <w:pStyle w:val="TableText"/>
                    <w:spacing w:before="50" w:after="50"/>
                    <w:ind w:right="457"/>
                    <w:jc w:val="center"/>
                    <w:rPr>
                      <w:rFonts w:asciiTheme="minorHAnsi" w:hAnsiTheme="minorHAnsi" w:cstheme="minorHAnsi"/>
                      <w:szCs w:val="18"/>
                    </w:rPr>
                  </w:pPr>
                  <w:r w:rsidRPr="00EA3A3E">
                    <w:rPr>
                      <w:rFonts w:cstheme="minorHAnsi"/>
                      <w:szCs w:val="18"/>
                    </w:rPr>
                    <w:t>1.63</w:t>
                  </w:r>
                </w:p>
              </w:tc>
              <w:tc>
                <w:tcPr>
                  <w:tcW w:w="973" w:type="pct"/>
                  <w:tcBorders>
                    <w:top w:val="single" w:sz="4" w:space="0" w:color="auto"/>
                    <w:bottom w:val="single" w:sz="12" w:space="0" w:color="auto"/>
                  </w:tcBorders>
                </w:tcPr>
                <w:p w14:paraId="5A01BBFA" w14:textId="69FA042B" w:rsidR="00667242" w:rsidRPr="00667242" w:rsidRDefault="00667242" w:rsidP="00EA3A3E">
                  <w:pPr>
                    <w:pStyle w:val="TableText"/>
                    <w:spacing w:before="50" w:after="50"/>
                    <w:ind w:right="457"/>
                    <w:jc w:val="center"/>
                    <w:rPr>
                      <w:rFonts w:asciiTheme="minorHAnsi" w:hAnsiTheme="minorHAnsi" w:cstheme="minorHAnsi"/>
                      <w:szCs w:val="18"/>
                    </w:rPr>
                  </w:pPr>
                  <w:r w:rsidRPr="00EA3A3E">
                    <w:rPr>
                      <w:rFonts w:cstheme="minorHAnsi"/>
                      <w:szCs w:val="18"/>
                    </w:rPr>
                    <w:t>1.42</w:t>
                  </w:r>
                </w:p>
              </w:tc>
            </w:tr>
          </w:tbl>
          <w:p w14:paraId="68DB22CD" w14:textId="70955E2B" w:rsidR="00616338" w:rsidRPr="004671DC" w:rsidRDefault="00616338" w:rsidP="004671DC">
            <w:pPr>
              <w:spacing w:before="60" w:after="60"/>
              <w:rPr>
                <w:iCs/>
                <w:sz w:val="18"/>
                <w:szCs w:val="18"/>
              </w:rPr>
            </w:pPr>
          </w:p>
        </w:tc>
        <w:tc>
          <w:tcPr>
            <w:tcW w:w="3118" w:type="dxa"/>
            <w:tcBorders>
              <w:top w:val="single" w:sz="4" w:space="0" w:color="auto"/>
              <w:left w:val="single" w:sz="4" w:space="0" w:color="auto"/>
              <w:bottom w:val="single" w:sz="4" w:space="0" w:color="auto"/>
              <w:right w:val="single" w:sz="4" w:space="0" w:color="auto"/>
            </w:tcBorders>
          </w:tcPr>
          <w:p w14:paraId="39D303D7" w14:textId="1009931A" w:rsidR="0028006E" w:rsidRPr="004A7EDD" w:rsidRDefault="00616338" w:rsidP="00BD580D">
            <w:pPr>
              <w:spacing w:before="60" w:after="60" w:line="240" w:lineRule="auto"/>
              <w:rPr>
                <w:sz w:val="18"/>
                <w:szCs w:val="18"/>
              </w:rPr>
            </w:pPr>
            <w:r>
              <w:rPr>
                <w:sz w:val="18"/>
                <w:szCs w:val="18"/>
              </w:rPr>
              <w:lastRenderedPageBreak/>
              <w:t>Text</w:t>
            </w:r>
            <w:r w:rsidR="006D6D24" w:rsidRPr="00616338">
              <w:rPr>
                <w:sz w:val="18"/>
                <w:szCs w:val="18"/>
              </w:rPr>
              <w:t xml:space="preserve"> has been added to a new Appendix H</w:t>
            </w:r>
            <w:r>
              <w:rPr>
                <w:sz w:val="18"/>
                <w:szCs w:val="18"/>
              </w:rPr>
              <w:t xml:space="preserve"> to reflect this issue.</w:t>
            </w:r>
          </w:p>
        </w:tc>
      </w:tr>
      <w:tr w:rsidR="0028006E" w14:paraId="043C7DDF" w14:textId="77777777" w:rsidTr="004A7EDD">
        <w:tc>
          <w:tcPr>
            <w:tcW w:w="4673" w:type="dxa"/>
            <w:tcBorders>
              <w:top w:val="single" w:sz="4" w:space="0" w:color="auto"/>
              <w:left w:val="single" w:sz="4" w:space="0" w:color="auto"/>
              <w:bottom w:val="single" w:sz="4" w:space="0" w:color="auto"/>
              <w:right w:val="single" w:sz="4" w:space="0" w:color="auto"/>
            </w:tcBorders>
          </w:tcPr>
          <w:p w14:paraId="0A767ABC" w14:textId="1B912A9F" w:rsidR="0028006E" w:rsidRPr="00D62FEF" w:rsidRDefault="00BD580D" w:rsidP="00D62FEF">
            <w:pPr>
              <w:pStyle w:val="ListParagraph"/>
              <w:numPr>
                <w:ilvl w:val="0"/>
                <w:numId w:val="22"/>
              </w:numPr>
              <w:spacing w:before="60" w:after="60"/>
              <w:rPr>
                <w:bCs/>
                <w:sz w:val="18"/>
                <w:szCs w:val="18"/>
              </w:rPr>
            </w:pPr>
            <w:r w:rsidRPr="00D62FEF">
              <w:rPr>
                <w:bCs/>
                <w:sz w:val="18"/>
                <w:szCs w:val="18"/>
              </w:rPr>
              <w:lastRenderedPageBreak/>
              <w:t>Finally, these DGVs have the potential to be impractical given that most commercial labs in WA will struggle to accurately/reliably determine the 95% - 99% protection concentrations (in the absence of DOC correction). This has the potential to increase the costs associated with monitoring due to a combination of increase</w:t>
            </w:r>
            <w:r w:rsidR="004E238F">
              <w:rPr>
                <w:bCs/>
                <w:sz w:val="18"/>
                <w:szCs w:val="18"/>
              </w:rPr>
              <w:t>d</w:t>
            </w:r>
            <w:r w:rsidRPr="00D62FEF">
              <w:rPr>
                <w:bCs/>
                <w:sz w:val="18"/>
                <w:szCs w:val="18"/>
              </w:rPr>
              <w:t xml:space="preserve"> analytical requirements, the need to transport samples outside of Western Australia for analysis and also the potential implementation of extensive biological/ecological monitoring programs.</w:t>
            </w:r>
          </w:p>
        </w:tc>
        <w:tc>
          <w:tcPr>
            <w:tcW w:w="5954" w:type="dxa"/>
            <w:tcBorders>
              <w:top w:val="single" w:sz="4" w:space="0" w:color="auto"/>
              <w:left w:val="single" w:sz="4" w:space="0" w:color="auto"/>
              <w:bottom w:val="single" w:sz="4" w:space="0" w:color="auto"/>
              <w:right w:val="single" w:sz="4" w:space="0" w:color="auto"/>
            </w:tcBorders>
          </w:tcPr>
          <w:p w14:paraId="7E4F3584" w14:textId="0E3393D4" w:rsidR="0028006E" w:rsidRPr="004A7EDD" w:rsidRDefault="009F2070" w:rsidP="00C318F5">
            <w:pPr>
              <w:spacing w:before="0" w:after="0"/>
              <w:rPr>
                <w:iCs/>
                <w:sz w:val="18"/>
                <w:szCs w:val="18"/>
              </w:rPr>
            </w:pPr>
            <w:r w:rsidRPr="00FF6796">
              <w:rPr>
                <w:iCs/>
                <w:sz w:val="18"/>
                <w:szCs w:val="18"/>
              </w:rPr>
              <w:t xml:space="preserve">Many </w:t>
            </w:r>
            <w:r w:rsidR="00E15123" w:rsidRPr="00FF6796">
              <w:rPr>
                <w:iCs/>
                <w:sz w:val="18"/>
                <w:szCs w:val="18"/>
              </w:rPr>
              <w:t xml:space="preserve">commercial laboratories offer analyses with detection limits of 1 </w:t>
            </w:r>
            <w:r w:rsidR="00E15123" w:rsidRPr="00FF6796">
              <w:rPr>
                <w:rFonts w:cs="Calibri"/>
                <w:iCs/>
                <w:sz w:val="18"/>
                <w:szCs w:val="18"/>
              </w:rPr>
              <w:t>µ</w:t>
            </w:r>
            <w:r w:rsidR="00E15123" w:rsidRPr="00FF6796">
              <w:rPr>
                <w:iCs/>
                <w:sz w:val="18"/>
                <w:szCs w:val="18"/>
              </w:rPr>
              <w:t>g/L</w:t>
            </w:r>
            <w:r w:rsidRPr="00FF6796">
              <w:rPr>
                <w:iCs/>
                <w:sz w:val="18"/>
                <w:szCs w:val="18"/>
              </w:rPr>
              <w:t xml:space="preserve">, which will be </w:t>
            </w:r>
            <w:r w:rsidR="00022D42">
              <w:rPr>
                <w:iCs/>
                <w:sz w:val="18"/>
                <w:szCs w:val="18"/>
              </w:rPr>
              <w:t>below</w:t>
            </w:r>
            <w:r w:rsidRPr="00FF6796">
              <w:rPr>
                <w:iCs/>
                <w:sz w:val="18"/>
                <w:szCs w:val="18"/>
              </w:rPr>
              <w:t xml:space="preserve"> the </w:t>
            </w:r>
            <w:r w:rsidR="00AF11E2" w:rsidRPr="00FF6796">
              <w:rPr>
                <w:iCs/>
                <w:sz w:val="18"/>
                <w:szCs w:val="18"/>
              </w:rPr>
              <w:t xml:space="preserve">95% </w:t>
            </w:r>
            <w:r w:rsidR="00FF6796">
              <w:rPr>
                <w:iCs/>
                <w:sz w:val="18"/>
                <w:szCs w:val="18"/>
              </w:rPr>
              <w:t xml:space="preserve">species </w:t>
            </w:r>
            <w:r w:rsidR="00AF11E2" w:rsidRPr="00FF6796">
              <w:rPr>
                <w:iCs/>
                <w:sz w:val="18"/>
                <w:szCs w:val="18"/>
              </w:rPr>
              <w:t xml:space="preserve">protection concentrations at </w:t>
            </w:r>
            <w:r w:rsidR="00FF6796">
              <w:rPr>
                <w:iCs/>
                <w:sz w:val="18"/>
                <w:szCs w:val="18"/>
              </w:rPr>
              <w:t>most</w:t>
            </w:r>
            <w:r w:rsidR="00AF11E2" w:rsidRPr="00FF6796">
              <w:rPr>
                <w:iCs/>
                <w:sz w:val="18"/>
                <w:szCs w:val="18"/>
              </w:rPr>
              <w:t xml:space="preserve"> </w:t>
            </w:r>
            <w:r w:rsidR="00FF6796">
              <w:rPr>
                <w:iCs/>
                <w:sz w:val="18"/>
                <w:szCs w:val="18"/>
              </w:rPr>
              <w:t>environment</w:t>
            </w:r>
            <w:r w:rsidR="004E238F">
              <w:rPr>
                <w:iCs/>
                <w:sz w:val="18"/>
                <w:szCs w:val="18"/>
              </w:rPr>
              <w:t>al</w:t>
            </w:r>
            <w:r w:rsidR="00FF6796">
              <w:rPr>
                <w:iCs/>
                <w:sz w:val="18"/>
                <w:szCs w:val="18"/>
              </w:rPr>
              <w:t xml:space="preserve"> </w:t>
            </w:r>
            <w:r w:rsidR="00AF11E2" w:rsidRPr="00FF6796">
              <w:rPr>
                <w:iCs/>
                <w:sz w:val="18"/>
                <w:szCs w:val="18"/>
              </w:rPr>
              <w:t>DOC</w:t>
            </w:r>
            <w:r w:rsidR="00FF6796">
              <w:rPr>
                <w:iCs/>
                <w:sz w:val="18"/>
                <w:szCs w:val="18"/>
              </w:rPr>
              <w:t xml:space="preserve"> concentrations (e.g. &gt;1 mg/L DOC)</w:t>
            </w:r>
            <w:r w:rsidR="00AF11E2" w:rsidRPr="00FF6796">
              <w:rPr>
                <w:iCs/>
                <w:sz w:val="18"/>
                <w:szCs w:val="18"/>
              </w:rPr>
              <w:t>.</w:t>
            </w:r>
            <w:r w:rsidR="00AF11E2">
              <w:rPr>
                <w:iCs/>
                <w:sz w:val="18"/>
                <w:szCs w:val="18"/>
              </w:rPr>
              <w:t xml:space="preserve"> </w:t>
            </w:r>
            <w:r w:rsidR="0084164A">
              <w:rPr>
                <w:iCs/>
                <w:sz w:val="18"/>
                <w:szCs w:val="18"/>
              </w:rPr>
              <w:t xml:space="preserve">Moreover, some laboratories can obtain lower detection limits using ultratrace methods, which could be used if copper concentrations of &lt;1 </w:t>
            </w:r>
            <w:r w:rsidR="0084164A" w:rsidRPr="00FF6796">
              <w:rPr>
                <w:rFonts w:cs="Calibri"/>
                <w:iCs/>
                <w:sz w:val="18"/>
                <w:szCs w:val="18"/>
              </w:rPr>
              <w:t>µ</w:t>
            </w:r>
            <w:r w:rsidR="0084164A" w:rsidRPr="00FF6796">
              <w:rPr>
                <w:iCs/>
                <w:sz w:val="18"/>
                <w:szCs w:val="18"/>
              </w:rPr>
              <w:t>g/L</w:t>
            </w:r>
            <w:r w:rsidR="0084164A">
              <w:rPr>
                <w:iCs/>
                <w:sz w:val="18"/>
                <w:szCs w:val="18"/>
              </w:rPr>
              <w:t xml:space="preserve"> in seawater needed to be detected.</w:t>
            </w:r>
          </w:p>
        </w:tc>
        <w:tc>
          <w:tcPr>
            <w:tcW w:w="3118" w:type="dxa"/>
            <w:tcBorders>
              <w:top w:val="single" w:sz="4" w:space="0" w:color="auto"/>
              <w:left w:val="single" w:sz="4" w:space="0" w:color="auto"/>
              <w:bottom w:val="single" w:sz="4" w:space="0" w:color="auto"/>
              <w:right w:val="single" w:sz="4" w:space="0" w:color="auto"/>
            </w:tcBorders>
          </w:tcPr>
          <w:p w14:paraId="3FC50423" w14:textId="25FF8B1E" w:rsidR="0028006E" w:rsidRPr="004A7EDD" w:rsidRDefault="00D06D61" w:rsidP="0028006E">
            <w:pPr>
              <w:spacing w:before="60" w:after="60" w:line="280" w:lineRule="atLeast"/>
              <w:rPr>
                <w:sz w:val="18"/>
                <w:szCs w:val="18"/>
              </w:rPr>
            </w:pPr>
            <w:r>
              <w:rPr>
                <w:sz w:val="18"/>
                <w:szCs w:val="18"/>
              </w:rPr>
              <w:t>Text reflecting this issue has been added to section 4.4.</w:t>
            </w:r>
          </w:p>
        </w:tc>
      </w:tr>
      <w:tr w:rsidR="00022CF2" w14:paraId="283573F5" w14:textId="77777777" w:rsidTr="006C0F37">
        <w:tc>
          <w:tcPr>
            <w:tcW w:w="13745" w:type="dxa"/>
            <w:gridSpan w:val="3"/>
            <w:tcBorders>
              <w:top w:val="single" w:sz="4" w:space="0" w:color="auto"/>
              <w:left w:val="single" w:sz="4" w:space="0" w:color="auto"/>
              <w:bottom w:val="single" w:sz="4" w:space="0" w:color="auto"/>
              <w:right w:val="single" w:sz="4" w:space="0" w:color="auto"/>
            </w:tcBorders>
            <w:hideMark/>
          </w:tcPr>
          <w:p w14:paraId="283573F4" w14:textId="55FC928F" w:rsidR="00022CF2" w:rsidRPr="004A7EDD" w:rsidRDefault="00022CF2" w:rsidP="0028006E">
            <w:pPr>
              <w:spacing w:before="60" w:after="60" w:line="280" w:lineRule="atLeast"/>
              <w:rPr>
                <w:sz w:val="18"/>
                <w:szCs w:val="18"/>
              </w:rPr>
            </w:pPr>
            <w:r>
              <w:rPr>
                <w:b/>
                <w:sz w:val="18"/>
                <w:szCs w:val="18"/>
              </w:rPr>
              <w:t>Submission</w:t>
            </w:r>
            <w:r w:rsidRPr="006B7B8A">
              <w:rPr>
                <w:b/>
                <w:sz w:val="18"/>
                <w:szCs w:val="18"/>
              </w:rPr>
              <w:t xml:space="preserve"> </w:t>
            </w:r>
            <w:r>
              <w:rPr>
                <w:b/>
                <w:sz w:val="18"/>
                <w:szCs w:val="18"/>
              </w:rPr>
              <w:t>B</w:t>
            </w:r>
          </w:p>
        </w:tc>
      </w:tr>
      <w:tr w:rsidR="0028006E" w14:paraId="4BCAAF24" w14:textId="77777777" w:rsidTr="004A7EDD">
        <w:tc>
          <w:tcPr>
            <w:tcW w:w="4673" w:type="dxa"/>
            <w:tcBorders>
              <w:top w:val="single" w:sz="4" w:space="0" w:color="auto"/>
              <w:left w:val="single" w:sz="4" w:space="0" w:color="auto"/>
              <w:bottom w:val="single" w:sz="4" w:space="0" w:color="auto"/>
              <w:right w:val="single" w:sz="4" w:space="0" w:color="auto"/>
            </w:tcBorders>
          </w:tcPr>
          <w:p w14:paraId="1BF1AF12" w14:textId="77777777" w:rsidR="0028006E" w:rsidRPr="00D62FEF" w:rsidRDefault="0028006E" w:rsidP="00D62FEF">
            <w:pPr>
              <w:pStyle w:val="ListParagraph"/>
              <w:numPr>
                <w:ilvl w:val="0"/>
                <w:numId w:val="23"/>
              </w:numPr>
              <w:spacing w:before="60" w:after="60"/>
              <w:rPr>
                <w:bCs/>
                <w:sz w:val="18"/>
                <w:szCs w:val="18"/>
                <w:lang w:val="en-GB"/>
              </w:rPr>
            </w:pPr>
            <w:r w:rsidRPr="00D62FEF">
              <w:rPr>
                <w:bCs/>
                <w:sz w:val="18"/>
                <w:szCs w:val="18"/>
                <w:lang w:val="en-GB"/>
              </w:rPr>
              <w:t xml:space="preserve">The proposed marine 99% species protection DGV for copper (0.12 </w:t>
            </w:r>
            <w:proofErr w:type="spellStart"/>
            <w:r w:rsidRPr="00D62FEF">
              <w:rPr>
                <w:bCs/>
                <w:sz w:val="18"/>
                <w:szCs w:val="18"/>
                <w:lang w:val="en-GB"/>
              </w:rPr>
              <w:t>μg</w:t>
            </w:r>
            <w:proofErr w:type="spellEnd"/>
            <w:r w:rsidRPr="00D62FEF">
              <w:rPr>
                <w:bCs/>
                <w:sz w:val="18"/>
                <w:szCs w:val="18"/>
                <w:lang w:val="en-GB"/>
              </w:rPr>
              <w:t>/L) is lower than or equal to the accepted background concentration for WA’s_ _</w:t>
            </w:r>
            <w:proofErr w:type="gramStart"/>
            <w:r w:rsidRPr="00D62FEF">
              <w:rPr>
                <w:bCs/>
                <w:sz w:val="18"/>
                <w:szCs w:val="18"/>
                <w:lang w:val="en-GB"/>
              </w:rPr>
              <w:t>North West</w:t>
            </w:r>
            <w:proofErr w:type="gramEnd"/>
            <w:r w:rsidRPr="00D62FEF">
              <w:rPr>
                <w:bCs/>
                <w:sz w:val="18"/>
                <w:szCs w:val="18"/>
                <w:lang w:val="en-GB"/>
              </w:rPr>
              <w:t xml:space="preserve"> Shelf (0.165 </w:t>
            </w:r>
            <w:proofErr w:type="spellStart"/>
            <w:r w:rsidRPr="00D62FEF">
              <w:rPr>
                <w:bCs/>
                <w:sz w:val="18"/>
                <w:szCs w:val="18"/>
                <w:lang w:val="en-GB"/>
              </w:rPr>
              <w:t>μg</w:t>
            </w:r>
            <w:proofErr w:type="spellEnd"/>
            <w:r w:rsidRPr="00D62FEF">
              <w:rPr>
                <w:bCs/>
                <w:sz w:val="18"/>
                <w:szCs w:val="18"/>
                <w:lang w:val="en-GB"/>
              </w:rPr>
              <w:t xml:space="preserve">/L; </w:t>
            </w:r>
            <w:proofErr w:type="spellStart"/>
            <w:r w:rsidRPr="00D62FEF">
              <w:rPr>
                <w:bCs/>
                <w:sz w:val="18"/>
                <w:szCs w:val="18"/>
                <w:lang w:val="en-GB"/>
              </w:rPr>
              <w:t>Wenziker</w:t>
            </w:r>
            <w:proofErr w:type="spellEnd"/>
            <w:r w:rsidRPr="00D62FEF">
              <w:rPr>
                <w:bCs/>
                <w:sz w:val="18"/>
                <w:szCs w:val="18"/>
                <w:lang w:val="en-GB"/>
              </w:rPr>
              <w:t xml:space="preserve"> et al. 2006), Dampier </w:t>
            </w:r>
            <w:proofErr w:type="spellStart"/>
            <w:r w:rsidRPr="00D62FEF">
              <w:rPr>
                <w:bCs/>
                <w:sz w:val="18"/>
                <w:szCs w:val="18"/>
                <w:lang w:val="en-GB"/>
              </w:rPr>
              <w:t>Archipeligo</w:t>
            </w:r>
            <w:proofErr w:type="spellEnd"/>
            <w:r w:rsidRPr="00D62FEF">
              <w:rPr>
                <w:bCs/>
                <w:sz w:val="18"/>
                <w:szCs w:val="18"/>
                <w:lang w:val="en-GB"/>
              </w:rPr>
              <w:t xml:space="preserve"> (0.12 </w:t>
            </w:r>
            <w:proofErr w:type="spellStart"/>
            <w:r w:rsidRPr="00D62FEF">
              <w:rPr>
                <w:bCs/>
                <w:sz w:val="18"/>
                <w:szCs w:val="18"/>
                <w:lang w:val="en-GB"/>
              </w:rPr>
              <w:t>μg</w:t>
            </w:r>
            <w:proofErr w:type="spellEnd"/>
            <w:r w:rsidRPr="00D62FEF">
              <w:rPr>
                <w:bCs/>
                <w:sz w:val="18"/>
                <w:szCs w:val="18"/>
                <w:lang w:val="en-GB"/>
              </w:rPr>
              <w:t xml:space="preserve">/L; </w:t>
            </w:r>
            <w:proofErr w:type="spellStart"/>
            <w:r w:rsidRPr="00D62FEF">
              <w:rPr>
                <w:bCs/>
                <w:sz w:val="18"/>
                <w:szCs w:val="18"/>
                <w:lang w:val="en-GB"/>
              </w:rPr>
              <w:t>Wenziker</w:t>
            </w:r>
            <w:proofErr w:type="spellEnd"/>
            <w:r w:rsidRPr="00D62FEF">
              <w:rPr>
                <w:bCs/>
                <w:sz w:val="18"/>
                <w:szCs w:val="18"/>
                <w:lang w:val="en-GB"/>
              </w:rPr>
              <w:t xml:space="preserve"> et al 2006) and the relevant (E2) zone of Cockburn Sound (0.14 </w:t>
            </w:r>
            <w:proofErr w:type="spellStart"/>
            <w:r w:rsidRPr="00D62FEF">
              <w:rPr>
                <w:bCs/>
                <w:sz w:val="18"/>
                <w:szCs w:val="18"/>
                <w:lang w:val="en-GB"/>
              </w:rPr>
              <w:t>μg</w:t>
            </w:r>
            <w:proofErr w:type="spellEnd"/>
            <w:r w:rsidRPr="00D62FEF">
              <w:rPr>
                <w:bCs/>
                <w:sz w:val="18"/>
                <w:szCs w:val="18"/>
                <w:lang w:val="en-GB"/>
              </w:rPr>
              <w:t xml:space="preserve">/L; Mc Alpine et al. 2004). A revised trigger that routinely falls below background does not work operationally and is unlikely to be ecologically relevant. </w:t>
            </w:r>
          </w:p>
          <w:p w14:paraId="0C0DBB3D" w14:textId="77777777" w:rsidR="0028006E" w:rsidRDefault="0028006E" w:rsidP="0028006E">
            <w:pPr>
              <w:spacing w:before="60" w:after="60" w:line="240" w:lineRule="auto"/>
              <w:rPr>
                <w:bCs/>
                <w:sz w:val="18"/>
                <w:szCs w:val="18"/>
                <w:lang w:val="en-GB"/>
              </w:rPr>
            </w:pPr>
          </w:p>
          <w:p w14:paraId="1ECE3FE5" w14:textId="77777777" w:rsidR="0028006E" w:rsidRPr="006B7B8A" w:rsidRDefault="0028006E" w:rsidP="0028006E">
            <w:pPr>
              <w:spacing w:before="60" w:after="60" w:line="240" w:lineRule="auto"/>
              <w:rPr>
                <w:bCs/>
                <w:sz w:val="18"/>
                <w:szCs w:val="18"/>
                <w:lang w:val="en-GB"/>
              </w:rPr>
            </w:pPr>
            <w:proofErr w:type="spellStart"/>
            <w:r w:rsidRPr="006B7B8A">
              <w:rPr>
                <w:bCs/>
                <w:sz w:val="18"/>
                <w:szCs w:val="18"/>
                <w:lang w:val="en-GB"/>
              </w:rPr>
              <w:t>Wenziker</w:t>
            </w:r>
            <w:proofErr w:type="spellEnd"/>
            <w:r w:rsidRPr="006B7B8A">
              <w:rPr>
                <w:bCs/>
                <w:sz w:val="18"/>
                <w:szCs w:val="18"/>
                <w:lang w:val="en-GB"/>
              </w:rPr>
              <w:t xml:space="preserve"> K, McAlpine K, Apte S, Masini R (2006) Background quality for coastal marine waters of the </w:t>
            </w:r>
            <w:proofErr w:type="gramStart"/>
            <w:r w:rsidRPr="006B7B8A">
              <w:rPr>
                <w:bCs/>
                <w:sz w:val="18"/>
                <w:szCs w:val="18"/>
                <w:lang w:val="en-GB"/>
              </w:rPr>
              <w:t>North West</w:t>
            </w:r>
            <w:proofErr w:type="gramEnd"/>
            <w:r w:rsidRPr="006B7B8A">
              <w:rPr>
                <w:bCs/>
                <w:sz w:val="18"/>
                <w:szCs w:val="18"/>
                <w:lang w:val="en-GB"/>
              </w:rPr>
              <w:t xml:space="preserve"> Shelf, Western Australia. </w:t>
            </w:r>
            <w:proofErr w:type="gramStart"/>
            <w:r w:rsidRPr="006B7B8A">
              <w:rPr>
                <w:bCs/>
                <w:sz w:val="18"/>
                <w:szCs w:val="18"/>
                <w:lang w:val="en-GB"/>
              </w:rPr>
              <w:t>North West</w:t>
            </w:r>
            <w:proofErr w:type="gramEnd"/>
            <w:r w:rsidRPr="006B7B8A">
              <w:rPr>
                <w:bCs/>
                <w:sz w:val="18"/>
                <w:szCs w:val="18"/>
                <w:lang w:val="en-GB"/>
              </w:rPr>
              <w:t xml:space="preserve"> Shelf Joint Environmental Management Study Technical Report </w:t>
            </w:r>
          </w:p>
          <w:p w14:paraId="2F76C1B0" w14:textId="6976009E" w:rsidR="0028006E" w:rsidRPr="004A7EDD" w:rsidRDefault="0028006E" w:rsidP="0028006E">
            <w:pPr>
              <w:spacing w:before="60" w:after="60" w:line="240" w:lineRule="auto"/>
              <w:rPr>
                <w:bCs/>
                <w:sz w:val="18"/>
                <w:szCs w:val="18"/>
              </w:rPr>
            </w:pPr>
            <w:r w:rsidRPr="006B7B8A">
              <w:rPr>
                <w:bCs/>
                <w:sz w:val="18"/>
                <w:szCs w:val="18"/>
                <w:lang w:val="en-GB"/>
              </w:rPr>
              <w:t xml:space="preserve">McAlpine KW, </w:t>
            </w:r>
            <w:proofErr w:type="spellStart"/>
            <w:r w:rsidRPr="006B7B8A">
              <w:rPr>
                <w:bCs/>
                <w:sz w:val="18"/>
                <w:szCs w:val="18"/>
                <w:lang w:val="en-GB"/>
              </w:rPr>
              <w:t>Wenziker</w:t>
            </w:r>
            <w:proofErr w:type="spellEnd"/>
            <w:r w:rsidRPr="006B7B8A">
              <w:rPr>
                <w:bCs/>
                <w:sz w:val="18"/>
                <w:szCs w:val="18"/>
                <w:lang w:val="en-GB"/>
              </w:rPr>
              <w:t xml:space="preserve"> KJ, Apte SC, Masini RJ (2004) Background quality for coastal marine waters of Perth, </w:t>
            </w:r>
            <w:r w:rsidRPr="006B7B8A">
              <w:rPr>
                <w:bCs/>
                <w:sz w:val="18"/>
                <w:szCs w:val="18"/>
                <w:lang w:val="en-GB"/>
              </w:rPr>
              <w:lastRenderedPageBreak/>
              <w:t>Western Australia. Department of Environment Perth, Western Australia Technical Series 117</w:t>
            </w:r>
          </w:p>
        </w:tc>
        <w:tc>
          <w:tcPr>
            <w:tcW w:w="5954" w:type="dxa"/>
            <w:tcBorders>
              <w:top w:val="single" w:sz="4" w:space="0" w:color="auto"/>
              <w:left w:val="single" w:sz="4" w:space="0" w:color="auto"/>
              <w:bottom w:val="single" w:sz="4" w:space="0" w:color="auto"/>
              <w:right w:val="single" w:sz="4" w:space="0" w:color="auto"/>
            </w:tcBorders>
          </w:tcPr>
          <w:p w14:paraId="158AFB80" w14:textId="73CB11F3" w:rsidR="00E0595F" w:rsidRPr="004D0515" w:rsidRDefault="004036EE" w:rsidP="0028006E">
            <w:pPr>
              <w:spacing w:before="60" w:after="60" w:line="240" w:lineRule="auto"/>
              <w:rPr>
                <w:iCs/>
                <w:sz w:val="18"/>
                <w:szCs w:val="18"/>
              </w:rPr>
            </w:pPr>
            <w:r w:rsidRPr="004D0515">
              <w:rPr>
                <w:iCs/>
                <w:sz w:val="18"/>
                <w:szCs w:val="18"/>
              </w:rPr>
              <w:lastRenderedPageBreak/>
              <w:t xml:space="preserve">It is correct that </w:t>
            </w:r>
            <w:r w:rsidR="007D74BF" w:rsidRPr="004D0515">
              <w:rPr>
                <w:iCs/>
                <w:sz w:val="18"/>
                <w:szCs w:val="18"/>
              </w:rPr>
              <w:t xml:space="preserve">DGVs should not be </w:t>
            </w:r>
            <w:r w:rsidRPr="004D0515">
              <w:rPr>
                <w:iCs/>
                <w:sz w:val="18"/>
                <w:szCs w:val="18"/>
              </w:rPr>
              <w:t xml:space="preserve">set </w:t>
            </w:r>
            <w:r w:rsidR="007D74BF" w:rsidRPr="004D0515">
              <w:rPr>
                <w:iCs/>
                <w:sz w:val="18"/>
                <w:szCs w:val="18"/>
              </w:rPr>
              <w:t>lower than background conc</w:t>
            </w:r>
            <w:r w:rsidR="00554964" w:rsidRPr="004D0515">
              <w:rPr>
                <w:iCs/>
                <w:sz w:val="18"/>
                <w:szCs w:val="18"/>
              </w:rPr>
              <w:t>entration</w:t>
            </w:r>
            <w:r w:rsidR="007D74BF" w:rsidRPr="004D0515">
              <w:rPr>
                <w:iCs/>
                <w:sz w:val="18"/>
                <w:szCs w:val="18"/>
              </w:rPr>
              <w:t>s</w:t>
            </w:r>
            <w:r w:rsidR="00E0595F" w:rsidRPr="004D0515">
              <w:rPr>
                <w:iCs/>
                <w:sz w:val="18"/>
                <w:szCs w:val="18"/>
              </w:rPr>
              <w:t>:</w:t>
            </w:r>
            <w:r w:rsidR="009404FF" w:rsidRPr="004D0515">
              <w:rPr>
                <w:iCs/>
                <w:sz w:val="18"/>
                <w:szCs w:val="18"/>
              </w:rPr>
              <w:t xml:space="preserve"> </w:t>
            </w:r>
            <w:r w:rsidR="00E0595F" w:rsidRPr="004D0515">
              <w:rPr>
                <w:iCs/>
                <w:sz w:val="18"/>
                <w:szCs w:val="18"/>
              </w:rPr>
              <w:t>See Warne et al. (2018):</w:t>
            </w:r>
          </w:p>
          <w:p w14:paraId="1E72ADA7" w14:textId="19760121" w:rsidR="00E0595F" w:rsidRPr="004D0515" w:rsidRDefault="009404FF" w:rsidP="00E0595F">
            <w:pPr>
              <w:spacing w:before="60" w:after="60" w:line="240" w:lineRule="auto"/>
              <w:rPr>
                <w:iCs/>
                <w:sz w:val="18"/>
                <w:szCs w:val="18"/>
              </w:rPr>
            </w:pPr>
            <w:r w:rsidRPr="004D0515">
              <w:rPr>
                <w:iCs/>
                <w:sz w:val="18"/>
                <w:szCs w:val="18"/>
              </w:rPr>
              <w:t>“</w:t>
            </w:r>
            <w:r w:rsidR="00E0595F" w:rsidRPr="004D0515">
              <w:rPr>
                <w:iCs/>
                <w:sz w:val="18"/>
                <w:szCs w:val="18"/>
              </w:rPr>
              <w:t>The GVs for naturally occurring elements (for example metals) and compounds (for example some hydrocarbons and polycyclic aromatic hydrocarbons, PAHs) should be checked against background concentrations to ensure that unrealistically low GVs (lower than the background concentration) are not derived. A default set of background data for metals and metalloids is presented in the 2000 Guidelines (Table 8.3.2, ANZECC/ARMCANZ 2000b). Alternatively, site-specific or regional GVs based on background concentrations could be derived; however, this is not a trivial task.</w:t>
            </w:r>
            <w:r w:rsidRPr="004D0515">
              <w:rPr>
                <w:iCs/>
                <w:sz w:val="18"/>
                <w:szCs w:val="18"/>
              </w:rPr>
              <w:t>”</w:t>
            </w:r>
          </w:p>
          <w:p w14:paraId="4B4D4D8D" w14:textId="099521FD" w:rsidR="00AA157B" w:rsidRPr="004D0515" w:rsidRDefault="00554964" w:rsidP="00DE03CF">
            <w:pPr>
              <w:spacing w:before="60" w:after="60" w:line="240" w:lineRule="auto"/>
              <w:rPr>
                <w:iCs/>
                <w:sz w:val="18"/>
                <w:szCs w:val="18"/>
              </w:rPr>
            </w:pPr>
            <w:r w:rsidRPr="004D0515">
              <w:rPr>
                <w:iCs/>
                <w:sz w:val="18"/>
                <w:szCs w:val="18"/>
              </w:rPr>
              <w:t xml:space="preserve">However, this may not always be possible. </w:t>
            </w:r>
            <w:r w:rsidR="00AE2CB5" w:rsidRPr="004D0515">
              <w:rPr>
                <w:iCs/>
                <w:sz w:val="18"/>
                <w:szCs w:val="18"/>
              </w:rPr>
              <w:t xml:space="preserve">We agree that the </w:t>
            </w:r>
            <w:r w:rsidR="00FD0627" w:rsidRPr="004D0515">
              <w:rPr>
                <w:iCs/>
                <w:sz w:val="18"/>
                <w:szCs w:val="18"/>
              </w:rPr>
              <w:t xml:space="preserve">99% species protection DGV </w:t>
            </w:r>
            <w:r w:rsidR="00A11F05" w:rsidRPr="004D0515">
              <w:rPr>
                <w:iCs/>
                <w:sz w:val="18"/>
                <w:szCs w:val="18"/>
              </w:rPr>
              <w:t xml:space="preserve">at the default DOC concentration of 0.5 mg/L </w:t>
            </w:r>
            <w:r w:rsidRPr="004D0515">
              <w:rPr>
                <w:iCs/>
                <w:sz w:val="18"/>
                <w:szCs w:val="18"/>
              </w:rPr>
              <w:t>is</w:t>
            </w:r>
            <w:r w:rsidR="00FD0627" w:rsidRPr="004D0515">
              <w:rPr>
                <w:iCs/>
                <w:sz w:val="18"/>
                <w:szCs w:val="18"/>
              </w:rPr>
              <w:t xml:space="preserve"> very low and will be both analytically challenging and close to background levels. However, our understanding is that the DGVs will be above background levels in most locations. </w:t>
            </w:r>
            <w:r w:rsidR="0051239F" w:rsidRPr="004D0515">
              <w:rPr>
                <w:iCs/>
                <w:sz w:val="18"/>
                <w:szCs w:val="18"/>
              </w:rPr>
              <w:t xml:space="preserve">The </w:t>
            </w:r>
            <w:r w:rsidR="001C2188" w:rsidRPr="004D0515">
              <w:rPr>
                <w:iCs/>
                <w:sz w:val="18"/>
                <w:szCs w:val="18"/>
              </w:rPr>
              <w:t>“</w:t>
            </w:r>
            <w:r w:rsidR="0051239F" w:rsidRPr="004D0515">
              <w:rPr>
                <w:iCs/>
                <w:sz w:val="18"/>
                <w:szCs w:val="18"/>
              </w:rPr>
              <w:t xml:space="preserve">accepted background concentrations for </w:t>
            </w:r>
            <w:r w:rsidR="00DE2EF8" w:rsidRPr="004D0515">
              <w:rPr>
                <w:iCs/>
                <w:sz w:val="18"/>
                <w:szCs w:val="18"/>
              </w:rPr>
              <w:t>Western Australia</w:t>
            </w:r>
            <w:r w:rsidR="00212085" w:rsidRPr="004D0515">
              <w:rPr>
                <w:iCs/>
                <w:sz w:val="18"/>
                <w:szCs w:val="18"/>
              </w:rPr>
              <w:t>”</w:t>
            </w:r>
            <w:r w:rsidR="00DE2EF8" w:rsidRPr="004D0515">
              <w:rPr>
                <w:iCs/>
                <w:sz w:val="18"/>
                <w:szCs w:val="18"/>
              </w:rPr>
              <w:t xml:space="preserve"> as reported </w:t>
            </w:r>
            <w:r w:rsidR="00212085" w:rsidRPr="004D0515">
              <w:rPr>
                <w:iCs/>
                <w:sz w:val="18"/>
                <w:szCs w:val="18"/>
              </w:rPr>
              <w:t xml:space="preserve">in the public submission </w:t>
            </w:r>
            <w:r w:rsidRPr="004D0515">
              <w:rPr>
                <w:iCs/>
                <w:sz w:val="18"/>
                <w:szCs w:val="18"/>
              </w:rPr>
              <w:t>are</w:t>
            </w:r>
            <w:r w:rsidR="00DE2EF8" w:rsidRPr="004D0515">
              <w:rPr>
                <w:iCs/>
                <w:sz w:val="18"/>
                <w:szCs w:val="18"/>
              </w:rPr>
              <w:t xml:space="preserve"> higher than values reported for background/off-shore waters more generally around Australia and New Zealand. For example, sampling in the Tasman Sea indicates concentrations </w:t>
            </w:r>
            <w:r w:rsidR="00E20B5F" w:rsidRPr="004D0515">
              <w:rPr>
                <w:iCs/>
                <w:sz w:val="18"/>
                <w:szCs w:val="18"/>
              </w:rPr>
              <w:lastRenderedPageBreak/>
              <w:t xml:space="preserve">around ~0.03 </w:t>
            </w:r>
            <w:r w:rsidR="00E20B5F" w:rsidRPr="004D0515">
              <w:rPr>
                <w:rFonts w:cs="Calibri"/>
                <w:iCs/>
                <w:sz w:val="18"/>
                <w:szCs w:val="18"/>
              </w:rPr>
              <w:t>µ</w:t>
            </w:r>
            <w:r w:rsidR="00E20B5F" w:rsidRPr="004D0515">
              <w:rPr>
                <w:iCs/>
                <w:sz w:val="18"/>
                <w:szCs w:val="18"/>
              </w:rPr>
              <w:t>g/L, increasing to 0.</w:t>
            </w:r>
            <w:r w:rsidR="00833FFD" w:rsidRPr="004D0515">
              <w:rPr>
                <w:iCs/>
                <w:sz w:val="18"/>
                <w:szCs w:val="18"/>
              </w:rPr>
              <w:t>1</w:t>
            </w:r>
            <w:r w:rsidR="00212085" w:rsidRPr="004D0515">
              <w:rPr>
                <w:iCs/>
                <w:sz w:val="18"/>
                <w:szCs w:val="18"/>
              </w:rPr>
              <w:t> </w:t>
            </w:r>
            <w:r w:rsidR="00E20B5F" w:rsidRPr="004D0515">
              <w:rPr>
                <w:rFonts w:cs="Calibri"/>
                <w:iCs/>
                <w:sz w:val="18"/>
                <w:szCs w:val="18"/>
              </w:rPr>
              <w:t>µ</w:t>
            </w:r>
            <w:r w:rsidR="00E20B5F" w:rsidRPr="004D0515">
              <w:rPr>
                <w:iCs/>
                <w:sz w:val="18"/>
                <w:szCs w:val="18"/>
              </w:rPr>
              <w:t xml:space="preserve">g/L </w:t>
            </w:r>
            <w:r w:rsidR="003F3D99" w:rsidRPr="004D0515">
              <w:rPr>
                <w:iCs/>
                <w:sz w:val="18"/>
                <w:szCs w:val="18"/>
              </w:rPr>
              <w:t xml:space="preserve">or more </w:t>
            </w:r>
            <w:r w:rsidR="00E20B5F" w:rsidRPr="004D0515">
              <w:rPr>
                <w:iCs/>
                <w:sz w:val="18"/>
                <w:szCs w:val="18"/>
              </w:rPr>
              <w:t xml:space="preserve">at </w:t>
            </w:r>
            <w:r w:rsidR="00342C91" w:rsidRPr="004D0515">
              <w:rPr>
                <w:iCs/>
                <w:sz w:val="18"/>
                <w:szCs w:val="18"/>
              </w:rPr>
              <w:t xml:space="preserve">a </w:t>
            </w:r>
            <w:r w:rsidR="00E20B5F" w:rsidRPr="004D0515">
              <w:rPr>
                <w:iCs/>
                <w:sz w:val="18"/>
                <w:szCs w:val="18"/>
              </w:rPr>
              <w:t>depth</w:t>
            </w:r>
            <w:r w:rsidR="00342C91" w:rsidRPr="004D0515">
              <w:rPr>
                <w:iCs/>
                <w:sz w:val="18"/>
                <w:szCs w:val="18"/>
              </w:rPr>
              <w:t xml:space="preserve"> of </w:t>
            </w:r>
            <w:r w:rsidR="003F3D99" w:rsidRPr="004D0515">
              <w:rPr>
                <w:iCs/>
                <w:sz w:val="18"/>
                <w:szCs w:val="18"/>
              </w:rPr>
              <w:t xml:space="preserve">1500 m </w:t>
            </w:r>
            <w:r w:rsidR="001010FD" w:rsidRPr="004D0515">
              <w:rPr>
                <w:iCs/>
                <w:sz w:val="18"/>
                <w:szCs w:val="18"/>
              </w:rPr>
              <w:fldChar w:fldCharType="begin"/>
            </w:r>
            <w:r w:rsidR="001010FD" w:rsidRPr="004D0515">
              <w:rPr>
                <w:iCs/>
                <w:sz w:val="18"/>
                <w:szCs w:val="18"/>
              </w:rPr>
              <w:instrText xml:space="preserve"> ADDIN EN.CITE &lt;EndNote&gt;&lt;Cite&gt;&lt;Author&gt;Thompson&lt;/Author&gt;&lt;Year&gt;2014&lt;/Year&gt;&lt;RecNum&gt;3931&lt;/RecNum&gt;&lt;DisplayText&gt;(Thompson and Ellwood 2014)&lt;/DisplayText&gt;&lt;record&gt;&lt;rec-number&gt;3931&lt;/rec-number&gt;&lt;foreign-keys&gt;&lt;key app="EN" db-id="rvf2e0xz2v920ke00srpf2wb09rrsfweffax" timestamp="1708554134"&gt;3931&lt;/key&gt;&lt;/foreign-keys&gt;&lt;ref-type name="Journal Article"&gt;17&lt;/ref-type&gt;&lt;contributors&gt;&lt;authors&gt;&lt;author&gt;Thompson, Claire M.&lt;/author&gt;&lt;author&gt;Ellwood, Michael J.&lt;/author&gt;&lt;/authors&gt;&lt;/contributors&gt;&lt;titles&gt;&lt;title&gt;Dissolved copper isotope biogeochemistry in the Tasman Sea, SW Pacific Ocean&lt;/title&gt;&lt;secondary-title&gt;Marine Chemistry&lt;/secondary-title&gt;&lt;/titles&gt;&lt;periodical&gt;&lt;full-title&gt;Marine Chemistry&lt;/full-title&gt;&lt;abbr-1&gt;Mar Chem&lt;/abbr-1&gt;&lt;abbr-2&gt;Mar. Chem.&lt;/abbr-2&gt;&lt;/periodical&gt;&lt;pages&gt;1-9&lt;/pages&gt;&lt;volume&gt;165&lt;/volume&gt;&lt;keywords&gt;&lt;keyword&gt;Seawater&lt;/keyword&gt;&lt;keyword&gt;Copper&lt;/keyword&gt;&lt;keyword&gt;Biogeochemistry&lt;/keyword&gt;&lt;keyword&gt;Copper isotopes&lt;/keyword&gt;&lt;keyword&gt;Speciation&lt;/keyword&gt;&lt;/keywords&gt;&lt;dates&gt;&lt;year&gt;2014&lt;/year&gt;&lt;pub-dates&gt;&lt;date&gt;2014/10/20/&lt;/date&gt;&lt;/pub-dates&gt;&lt;/dates&gt;&lt;isbn&gt;0304-4203&lt;/isbn&gt;&lt;urls&gt;&lt;related-urls&gt;&lt;url&gt;https://www.sciencedirect.com/science/article/pii/S0304420314001091&lt;/url&gt;&lt;/related-urls&gt;&lt;/urls&gt;&lt;electronic-resource-num&gt;https://doi.org/10.1016/j.marchem.2014.06.009&lt;/electronic-resource-num&gt;&lt;/record&gt;&lt;/Cite&gt;&lt;/EndNote&gt;</w:instrText>
            </w:r>
            <w:r w:rsidR="001010FD" w:rsidRPr="004D0515">
              <w:rPr>
                <w:iCs/>
                <w:sz w:val="18"/>
                <w:szCs w:val="18"/>
              </w:rPr>
              <w:fldChar w:fldCharType="separate"/>
            </w:r>
            <w:r w:rsidR="001010FD" w:rsidRPr="004D0515">
              <w:rPr>
                <w:iCs/>
                <w:noProof/>
                <w:sz w:val="18"/>
                <w:szCs w:val="18"/>
              </w:rPr>
              <w:t>(Thompson and Ellwood 2014)</w:t>
            </w:r>
            <w:r w:rsidR="001010FD" w:rsidRPr="004D0515">
              <w:rPr>
                <w:iCs/>
                <w:sz w:val="18"/>
                <w:szCs w:val="18"/>
              </w:rPr>
              <w:fldChar w:fldCharType="end"/>
            </w:r>
            <w:r w:rsidR="00E20B5F" w:rsidRPr="004D0515">
              <w:rPr>
                <w:iCs/>
                <w:sz w:val="18"/>
                <w:szCs w:val="18"/>
              </w:rPr>
              <w:t xml:space="preserve">. At sites in the Hauraki Gulf, New Zealand, dissolved copper concentrations ranged from 0.02 to 0.07 </w:t>
            </w:r>
            <w:r w:rsidR="000050AC" w:rsidRPr="004D0515">
              <w:rPr>
                <w:rFonts w:cs="Calibri"/>
                <w:iCs/>
                <w:sz w:val="18"/>
                <w:szCs w:val="18"/>
              </w:rPr>
              <w:t>µ</w:t>
            </w:r>
            <w:r w:rsidR="000050AC" w:rsidRPr="004D0515">
              <w:rPr>
                <w:iCs/>
                <w:sz w:val="18"/>
                <w:szCs w:val="18"/>
              </w:rPr>
              <w:t xml:space="preserve">g/L, reaching 0.2 </w:t>
            </w:r>
            <w:r w:rsidR="000050AC" w:rsidRPr="004D0515">
              <w:rPr>
                <w:rFonts w:cs="Calibri"/>
                <w:iCs/>
                <w:sz w:val="18"/>
                <w:szCs w:val="18"/>
              </w:rPr>
              <w:t>µ</w:t>
            </w:r>
            <w:r w:rsidR="000050AC" w:rsidRPr="004D0515">
              <w:rPr>
                <w:iCs/>
                <w:sz w:val="18"/>
                <w:szCs w:val="18"/>
              </w:rPr>
              <w:t xml:space="preserve">g/L at </w:t>
            </w:r>
            <w:r w:rsidR="00342C91" w:rsidRPr="004D0515">
              <w:rPr>
                <w:iCs/>
                <w:sz w:val="18"/>
                <w:szCs w:val="18"/>
              </w:rPr>
              <w:t>a depth of 2000 m</w:t>
            </w:r>
            <w:r w:rsidR="00641D46" w:rsidRPr="004D0515">
              <w:rPr>
                <w:iCs/>
                <w:sz w:val="18"/>
                <w:szCs w:val="18"/>
              </w:rPr>
              <w:t xml:space="preserve"> </w:t>
            </w:r>
            <w:r w:rsidR="00641D46" w:rsidRPr="004D0515">
              <w:rPr>
                <w:iCs/>
                <w:sz w:val="18"/>
                <w:szCs w:val="18"/>
              </w:rPr>
              <w:fldChar w:fldCharType="begin"/>
            </w:r>
            <w:r w:rsidR="00641D46" w:rsidRPr="004D0515">
              <w:rPr>
                <w:iCs/>
                <w:sz w:val="18"/>
                <w:szCs w:val="18"/>
              </w:rPr>
              <w:instrText xml:space="preserve"> ADDIN EN.CITE &lt;EndNote&gt;&lt;Cite&gt;&lt;Author&gt;Zitoun&lt;/Author&gt;&lt;Year&gt;2019&lt;/Year&gt;&lt;RecNum&gt;3933&lt;/RecNum&gt;&lt;DisplayText&gt;(Zitoun 2019)&lt;/DisplayText&gt;&lt;record&gt;&lt;rec-number&gt;3933&lt;/rec-number&gt;&lt;foreign-keys&gt;&lt;key app="EN" db-id="rvf2e0xz2v920ke00srpf2wb09rrsfweffax" timestamp="1708554661"&gt;3933&lt;/key&gt;&lt;/foreign-keys&gt;&lt;ref-type name="Thesis"&gt;32&lt;/ref-type&gt;&lt;contributors&gt;&lt;authors&gt;&lt;author&gt;Rebecca Zitoun&lt;/author&gt;&lt;/authors&gt;&lt;/contributors&gt;&lt;titles&gt;&lt;title&gt;Copper speciation in different marine ecosystems around New Zealand&lt;/title&gt;&lt;secondary-title&gt;Department of Chemistry&lt;/secondary-title&gt;&lt;/titles&gt;&lt;pages&gt;321&lt;/pages&gt;&lt;volume&gt;PhD&lt;/volume&gt;&lt;dates&gt;&lt;year&gt;2019&lt;/year&gt;&lt;/dates&gt;&lt;pub-location&gt;Dunedin, New Zealand&lt;/pub-location&gt;&lt;publisher&gt;University of Otago&lt;/publisher&gt;&lt;urls&gt;&lt;/urls&gt;&lt;/record&gt;&lt;/Cite&gt;&lt;/EndNote&gt;</w:instrText>
            </w:r>
            <w:r w:rsidR="00641D46" w:rsidRPr="004D0515">
              <w:rPr>
                <w:iCs/>
                <w:sz w:val="18"/>
                <w:szCs w:val="18"/>
              </w:rPr>
              <w:fldChar w:fldCharType="separate"/>
            </w:r>
            <w:r w:rsidR="00641D46" w:rsidRPr="004D0515">
              <w:rPr>
                <w:iCs/>
                <w:noProof/>
                <w:sz w:val="18"/>
                <w:szCs w:val="18"/>
              </w:rPr>
              <w:t>(Zitoun 2019)</w:t>
            </w:r>
            <w:r w:rsidR="00641D46" w:rsidRPr="004D0515">
              <w:rPr>
                <w:iCs/>
                <w:sz w:val="18"/>
                <w:szCs w:val="18"/>
              </w:rPr>
              <w:fldChar w:fldCharType="end"/>
            </w:r>
            <w:r w:rsidR="00342C91" w:rsidRPr="004D0515">
              <w:rPr>
                <w:iCs/>
                <w:sz w:val="18"/>
                <w:szCs w:val="18"/>
              </w:rPr>
              <w:t>.</w:t>
            </w:r>
            <w:r w:rsidR="00641D46" w:rsidRPr="004D0515">
              <w:rPr>
                <w:iCs/>
                <w:sz w:val="18"/>
                <w:szCs w:val="18"/>
              </w:rPr>
              <w:t xml:space="preserve"> </w:t>
            </w:r>
            <w:r w:rsidR="00077691" w:rsidRPr="004D0515">
              <w:rPr>
                <w:iCs/>
                <w:sz w:val="18"/>
                <w:szCs w:val="18"/>
              </w:rPr>
              <w:t xml:space="preserve">At a </w:t>
            </w:r>
            <w:r w:rsidR="00641D46" w:rsidRPr="004D0515">
              <w:rPr>
                <w:iCs/>
                <w:sz w:val="18"/>
                <w:szCs w:val="18"/>
              </w:rPr>
              <w:t>location</w:t>
            </w:r>
            <w:r w:rsidR="00077691" w:rsidRPr="004D0515">
              <w:rPr>
                <w:iCs/>
                <w:sz w:val="18"/>
                <w:szCs w:val="18"/>
              </w:rPr>
              <w:t xml:space="preserve"> off-shore of </w:t>
            </w:r>
            <w:r w:rsidR="00641D46" w:rsidRPr="004D0515">
              <w:rPr>
                <w:iCs/>
                <w:sz w:val="18"/>
                <w:szCs w:val="18"/>
              </w:rPr>
              <w:t xml:space="preserve">Bay of Plenty, </w:t>
            </w:r>
            <w:r w:rsidR="00077691" w:rsidRPr="004D0515">
              <w:rPr>
                <w:iCs/>
                <w:sz w:val="18"/>
                <w:szCs w:val="18"/>
              </w:rPr>
              <w:t xml:space="preserve">New Zealand, total copper concentrations measured </w:t>
            </w:r>
            <w:r w:rsidR="00B01858" w:rsidRPr="004D0515">
              <w:rPr>
                <w:iCs/>
                <w:sz w:val="18"/>
                <w:szCs w:val="18"/>
              </w:rPr>
              <w:t xml:space="preserve">0.07 to 0.17 </w:t>
            </w:r>
            <w:r w:rsidR="00B01858" w:rsidRPr="004D0515">
              <w:rPr>
                <w:rFonts w:cs="Calibri"/>
                <w:iCs/>
                <w:sz w:val="18"/>
                <w:szCs w:val="18"/>
              </w:rPr>
              <w:t>µ</w:t>
            </w:r>
            <w:r w:rsidR="00B01858" w:rsidRPr="004D0515">
              <w:rPr>
                <w:iCs/>
                <w:sz w:val="18"/>
                <w:szCs w:val="18"/>
              </w:rPr>
              <w:t xml:space="preserve">g/L </w:t>
            </w:r>
            <w:r w:rsidR="004E40C3" w:rsidRPr="004D0515">
              <w:rPr>
                <w:iCs/>
                <w:sz w:val="18"/>
                <w:szCs w:val="18"/>
              </w:rPr>
              <w:fldChar w:fldCharType="begin">
                <w:fldData xml:space="preserve">PEVuZE5vdGU+PENpdGU+PEF1dGhvcj5IYXJ0bGFuZDwvQXV0aG9yPjxZZWFyPjIwMTk8L1llYXI+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</w:fldData>
              </w:fldChar>
            </w:r>
            <w:r w:rsidR="004E40C3" w:rsidRPr="004D0515">
              <w:rPr>
                <w:iCs/>
                <w:sz w:val="18"/>
                <w:szCs w:val="18"/>
              </w:rPr>
              <w:instrText xml:space="preserve"> ADDIN EN.CITE </w:instrText>
            </w:r>
            <w:r w:rsidR="004E40C3" w:rsidRPr="004D0515">
              <w:rPr>
                <w:iCs/>
                <w:sz w:val="18"/>
                <w:szCs w:val="18"/>
              </w:rPr>
              <w:fldChar w:fldCharType="begin">
                <w:fldData xml:space="preserve">PEVuZE5vdGU+PENpdGU+PEF1dGhvcj5IYXJ0bGFuZDwvQXV0aG9yPjxZZWFyPjIwMTk8L1llYXI+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</w:fldData>
              </w:fldChar>
            </w:r>
            <w:r w:rsidR="004E40C3" w:rsidRPr="004D0515">
              <w:rPr>
                <w:iCs/>
                <w:sz w:val="18"/>
                <w:szCs w:val="18"/>
              </w:rPr>
              <w:instrText xml:space="preserve"> ADDIN EN.CITE.DATA </w:instrText>
            </w:r>
            <w:r w:rsidR="004E40C3" w:rsidRPr="004D0515">
              <w:rPr>
                <w:iCs/>
                <w:sz w:val="18"/>
                <w:szCs w:val="18"/>
              </w:rPr>
            </w:r>
            <w:r w:rsidR="004E40C3" w:rsidRPr="004D0515">
              <w:rPr>
                <w:iCs/>
                <w:sz w:val="18"/>
                <w:szCs w:val="18"/>
              </w:rPr>
              <w:fldChar w:fldCharType="end"/>
            </w:r>
            <w:r w:rsidR="004E40C3" w:rsidRPr="004D0515">
              <w:rPr>
                <w:iCs/>
                <w:sz w:val="18"/>
                <w:szCs w:val="18"/>
              </w:rPr>
            </w:r>
            <w:r w:rsidR="004E40C3" w:rsidRPr="004D0515">
              <w:rPr>
                <w:iCs/>
                <w:sz w:val="18"/>
                <w:szCs w:val="18"/>
              </w:rPr>
              <w:fldChar w:fldCharType="separate"/>
            </w:r>
            <w:r w:rsidR="004E40C3" w:rsidRPr="004D0515">
              <w:rPr>
                <w:iCs/>
                <w:noProof/>
                <w:sz w:val="18"/>
                <w:szCs w:val="18"/>
              </w:rPr>
              <w:t>(Hartland, Zitoun et al. 2019)</w:t>
            </w:r>
            <w:r w:rsidR="004E40C3" w:rsidRPr="004D0515">
              <w:rPr>
                <w:iCs/>
                <w:sz w:val="18"/>
                <w:szCs w:val="18"/>
              </w:rPr>
              <w:fldChar w:fldCharType="end"/>
            </w:r>
            <w:r w:rsidR="00B01858" w:rsidRPr="004D0515">
              <w:rPr>
                <w:iCs/>
                <w:sz w:val="18"/>
                <w:szCs w:val="18"/>
              </w:rPr>
              <w:t>.</w:t>
            </w:r>
            <w:r w:rsidR="00A11F05" w:rsidRPr="004D0515">
              <w:rPr>
                <w:iCs/>
                <w:sz w:val="18"/>
                <w:szCs w:val="18"/>
              </w:rPr>
              <w:t xml:space="preserve"> Once DOC is taken into account, the DGVs are likely to be above background concentrations. Nevertheless, a sentence has been added</w:t>
            </w:r>
            <w:r w:rsidR="004A4352">
              <w:rPr>
                <w:iCs/>
                <w:sz w:val="18"/>
                <w:szCs w:val="18"/>
              </w:rPr>
              <w:t>,</w:t>
            </w:r>
            <w:r w:rsidR="00A11F05" w:rsidRPr="004D0515">
              <w:rPr>
                <w:iCs/>
                <w:sz w:val="18"/>
                <w:szCs w:val="18"/>
              </w:rPr>
              <w:t xml:space="preserve"> advising readers that ANZG (2018) provides guidance in the event that a DGV is below natural background concentrations. </w:t>
            </w:r>
          </w:p>
          <w:p w14:paraId="79F14025" w14:textId="2C9E7C5B" w:rsidR="00212085" w:rsidRPr="004D0515" w:rsidRDefault="00212085" w:rsidP="00A11F05">
            <w:pPr>
              <w:spacing w:before="60" w:after="60" w:line="240" w:lineRule="auto"/>
              <w:rPr>
                <w:iCs/>
                <w:sz w:val="18"/>
                <w:szCs w:val="18"/>
              </w:rPr>
            </w:pPr>
          </w:p>
        </w:tc>
        <w:tc>
          <w:tcPr>
            <w:tcW w:w="3118" w:type="dxa"/>
            <w:tcBorders>
              <w:top w:val="single" w:sz="4" w:space="0" w:color="auto"/>
              <w:left w:val="single" w:sz="4" w:space="0" w:color="auto"/>
              <w:bottom w:val="single" w:sz="4" w:space="0" w:color="auto"/>
              <w:right w:val="single" w:sz="4" w:space="0" w:color="auto"/>
            </w:tcBorders>
          </w:tcPr>
          <w:p w14:paraId="3736C906" w14:textId="1B2B1D4B" w:rsidR="0028006E" w:rsidRPr="004A7EDD" w:rsidRDefault="004D0515" w:rsidP="0028006E">
            <w:pPr>
              <w:spacing w:before="60" w:after="60" w:line="280" w:lineRule="atLeast"/>
              <w:rPr>
                <w:sz w:val="18"/>
                <w:szCs w:val="18"/>
              </w:rPr>
            </w:pPr>
            <w:r>
              <w:rPr>
                <w:sz w:val="18"/>
                <w:szCs w:val="18"/>
              </w:rPr>
              <w:lastRenderedPageBreak/>
              <w:t>Text reflecting this issue has been added to section 4.4.</w:t>
            </w:r>
          </w:p>
        </w:tc>
      </w:tr>
      <w:tr w:rsidR="00A11F05" w14:paraId="6E91D837" w14:textId="77777777" w:rsidTr="004A7EDD">
        <w:tc>
          <w:tcPr>
            <w:tcW w:w="4673" w:type="dxa"/>
            <w:tcBorders>
              <w:top w:val="single" w:sz="4" w:space="0" w:color="auto"/>
              <w:left w:val="single" w:sz="4" w:space="0" w:color="auto"/>
              <w:bottom w:val="single" w:sz="4" w:space="0" w:color="auto"/>
              <w:right w:val="single" w:sz="4" w:space="0" w:color="auto"/>
            </w:tcBorders>
          </w:tcPr>
          <w:p w14:paraId="36849B85" w14:textId="608FBF6C" w:rsidR="00A11F05" w:rsidRPr="00D62FEF" w:rsidRDefault="00A11F05" w:rsidP="00D62FEF">
            <w:pPr>
              <w:pStyle w:val="ListParagraph"/>
              <w:numPr>
                <w:ilvl w:val="0"/>
                <w:numId w:val="23"/>
              </w:numPr>
              <w:spacing w:before="60" w:after="60"/>
              <w:rPr>
                <w:bCs/>
                <w:sz w:val="18"/>
                <w:szCs w:val="18"/>
                <w:lang w:val="en-GB"/>
              </w:rPr>
            </w:pPr>
            <w:r w:rsidRPr="00D62FEF">
              <w:rPr>
                <w:bCs/>
                <w:sz w:val="18"/>
                <w:szCs w:val="18"/>
                <w:lang w:val="en-GB"/>
              </w:rPr>
              <w:t xml:space="preserve">The DGVs were derived from toxicity data from 32 species, of these half (four diatoms, four brown microalgae, one blue–green alga, three green microalgae, two green macroalgae, two brown macroalgae) were plants and half (four cnidarians, two echinoderms, one annelid, one crustacean, six molluscs and two fish) were animals. The plants (median final toxicity value of 3.35 </w:t>
            </w:r>
            <w:proofErr w:type="spellStart"/>
            <w:r w:rsidRPr="00D62FEF">
              <w:rPr>
                <w:bCs/>
                <w:sz w:val="18"/>
                <w:szCs w:val="18"/>
                <w:lang w:val="en-GB"/>
              </w:rPr>
              <w:t>μg</w:t>
            </w:r>
            <w:proofErr w:type="spellEnd"/>
            <w:r w:rsidRPr="00D62FEF">
              <w:rPr>
                <w:bCs/>
                <w:sz w:val="18"/>
                <w:szCs w:val="18"/>
                <w:lang w:val="en-GB"/>
              </w:rPr>
              <w:t xml:space="preserve">/L) are more sensitive than the animals (median final toxicity value of 3.35 </w:t>
            </w:r>
            <w:proofErr w:type="spellStart"/>
            <w:r w:rsidRPr="00D62FEF">
              <w:rPr>
                <w:bCs/>
                <w:sz w:val="18"/>
                <w:szCs w:val="18"/>
                <w:lang w:val="en-GB"/>
              </w:rPr>
              <w:t>μg</w:t>
            </w:r>
            <w:proofErr w:type="spellEnd"/>
            <w:r w:rsidRPr="00D62FEF">
              <w:rPr>
                <w:bCs/>
                <w:sz w:val="18"/>
                <w:szCs w:val="18"/>
                <w:lang w:val="en-GB"/>
              </w:rPr>
              <w:t xml:space="preserve">/L). In turn, the plants were overrepresented by microalgae (14 of the 16 species) which are more sensitive (median final toxicity value of 2.15 </w:t>
            </w:r>
            <w:proofErr w:type="spellStart"/>
            <w:r w:rsidRPr="00D62FEF">
              <w:rPr>
                <w:bCs/>
                <w:sz w:val="18"/>
                <w:szCs w:val="18"/>
                <w:lang w:val="en-GB"/>
              </w:rPr>
              <w:t>μg</w:t>
            </w:r>
            <w:proofErr w:type="spellEnd"/>
            <w:r w:rsidRPr="00D62FEF">
              <w:rPr>
                <w:bCs/>
                <w:sz w:val="18"/>
                <w:szCs w:val="18"/>
                <w:lang w:val="en-GB"/>
              </w:rPr>
              <w:t>/L) than the plants as a whole. It is recommended that the ANZG research the potential for bias due to species selection and, if necessary, establish associated criteria to ensure final guidelines accurately reflect the risk of toxicity and remain ecologically relevant.</w:t>
            </w:r>
          </w:p>
        </w:tc>
        <w:tc>
          <w:tcPr>
            <w:tcW w:w="5954" w:type="dxa"/>
            <w:tcBorders>
              <w:top w:val="single" w:sz="4" w:space="0" w:color="auto"/>
              <w:left w:val="single" w:sz="4" w:space="0" w:color="auto"/>
              <w:bottom w:val="single" w:sz="4" w:space="0" w:color="auto"/>
              <w:right w:val="single" w:sz="4" w:space="0" w:color="auto"/>
            </w:tcBorders>
          </w:tcPr>
          <w:p w14:paraId="51D2C152" w14:textId="6DFD3E8C" w:rsidR="00A11F05" w:rsidRDefault="00A11F05" w:rsidP="00A11F05">
            <w:pPr>
              <w:spacing w:before="60" w:after="60" w:line="240" w:lineRule="auto"/>
              <w:rPr>
                <w:iCs/>
                <w:sz w:val="18"/>
                <w:szCs w:val="18"/>
              </w:rPr>
            </w:pPr>
            <w:r>
              <w:rPr>
                <w:iCs/>
                <w:sz w:val="18"/>
                <w:szCs w:val="18"/>
              </w:rPr>
              <w:t xml:space="preserve">The issue of </w:t>
            </w:r>
            <w:r w:rsidR="00D62FEF">
              <w:rPr>
                <w:iCs/>
                <w:sz w:val="18"/>
                <w:szCs w:val="18"/>
              </w:rPr>
              <w:t xml:space="preserve">algal data dominance and overall </w:t>
            </w:r>
            <w:r>
              <w:rPr>
                <w:iCs/>
                <w:sz w:val="18"/>
                <w:szCs w:val="18"/>
              </w:rPr>
              <w:t>species/taxonomic group bias was addressed in relat</w:t>
            </w:r>
            <w:r w:rsidR="00D62FEF">
              <w:rPr>
                <w:iCs/>
                <w:sz w:val="18"/>
                <w:szCs w:val="18"/>
              </w:rPr>
              <w:t>ion to</w:t>
            </w:r>
            <w:r>
              <w:rPr>
                <w:iCs/>
                <w:sz w:val="18"/>
                <w:szCs w:val="18"/>
              </w:rPr>
              <w:t xml:space="preserve"> comment</w:t>
            </w:r>
            <w:r w:rsidR="00D62FEF">
              <w:rPr>
                <w:iCs/>
                <w:sz w:val="18"/>
                <w:szCs w:val="18"/>
              </w:rPr>
              <w:t>s 1 and 3</w:t>
            </w:r>
            <w:r>
              <w:rPr>
                <w:iCs/>
                <w:sz w:val="18"/>
                <w:szCs w:val="18"/>
              </w:rPr>
              <w:t xml:space="preserve"> from submission A.</w:t>
            </w:r>
          </w:p>
          <w:p w14:paraId="184F1942" w14:textId="77777777" w:rsidR="00A11F05" w:rsidRDefault="00A11F05" w:rsidP="0028006E">
            <w:pPr>
              <w:spacing w:before="60" w:after="60" w:line="240" w:lineRule="auto"/>
              <w:rPr>
                <w:iCs/>
                <w:sz w:val="18"/>
                <w:szCs w:val="18"/>
                <w:highlight w:val="yellow"/>
              </w:rPr>
            </w:pPr>
          </w:p>
        </w:tc>
        <w:tc>
          <w:tcPr>
            <w:tcW w:w="3118" w:type="dxa"/>
            <w:tcBorders>
              <w:top w:val="single" w:sz="4" w:space="0" w:color="auto"/>
              <w:left w:val="single" w:sz="4" w:space="0" w:color="auto"/>
              <w:bottom w:val="single" w:sz="4" w:space="0" w:color="auto"/>
              <w:right w:val="single" w:sz="4" w:space="0" w:color="auto"/>
            </w:tcBorders>
          </w:tcPr>
          <w:p w14:paraId="2D88A795" w14:textId="089DD668" w:rsidR="00A11F05" w:rsidRPr="004A7EDD" w:rsidRDefault="00A11F05" w:rsidP="0028006E">
            <w:pPr>
              <w:spacing w:before="60" w:after="60" w:line="280" w:lineRule="atLeast"/>
              <w:rPr>
                <w:sz w:val="18"/>
                <w:szCs w:val="18"/>
              </w:rPr>
            </w:pPr>
            <w:r>
              <w:rPr>
                <w:sz w:val="18"/>
                <w:szCs w:val="18"/>
              </w:rPr>
              <w:t xml:space="preserve">See </w:t>
            </w:r>
            <w:r w:rsidR="00AC33FB">
              <w:rPr>
                <w:sz w:val="18"/>
                <w:szCs w:val="18"/>
              </w:rPr>
              <w:t>action taken for</w:t>
            </w:r>
            <w:r>
              <w:rPr>
                <w:sz w:val="18"/>
                <w:szCs w:val="18"/>
              </w:rPr>
              <w:t xml:space="preserve"> comment</w:t>
            </w:r>
            <w:r w:rsidR="005E1C22">
              <w:rPr>
                <w:sz w:val="18"/>
                <w:szCs w:val="18"/>
              </w:rPr>
              <w:t>s 1 and 3</w:t>
            </w:r>
            <w:r>
              <w:rPr>
                <w:sz w:val="18"/>
                <w:szCs w:val="18"/>
              </w:rPr>
              <w:t xml:space="preserve"> from submission A.</w:t>
            </w:r>
          </w:p>
        </w:tc>
      </w:tr>
      <w:tr w:rsidR="003F7FB9" w14:paraId="55FDA445" w14:textId="77777777" w:rsidTr="006E485E">
        <w:tc>
          <w:tcPr>
            <w:tcW w:w="13745" w:type="dxa"/>
            <w:gridSpan w:val="3"/>
            <w:tcBorders>
              <w:top w:val="single" w:sz="4" w:space="0" w:color="auto"/>
              <w:left w:val="single" w:sz="4" w:space="0" w:color="auto"/>
              <w:bottom w:val="single" w:sz="4" w:space="0" w:color="auto"/>
              <w:right w:val="single" w:sz="4" w:space="0" w:color="auto"/>
            </w:tcBorders>
          </w:tcPr>
          <w:p w14:paraId="46A228A2" w14:textId="02CE4E7C" w:rsidR="003F7FB9" w:rsidRPr="004A7EDD" w:rsidRDefault="003F7FB9" w:rsidP="0028006E">
            <w:pPr>
              <w:spacing w:before="60" w:after="60" w:line="280" w:lineRule="atLeast"/>
              <w:rPr>
                <w:sz w:val="18"/>
                <w:szCs w:val="18"/>
              </w:rPr>
            </w:pPr>
            <w:r>
              <w:rPr>
                <w:b/>
                <w:sz w:val="18"/>
                <w:szCs w:val="18"/>
              </w:rPr>
              <w:t>Submission</w:t>
            </w:r>
            <w:r w:rsidRPr="006B7B8A">
              <w:rPr>
                <w:b/>
                <w:sz w:val="18"/>
                <w:szCs w:val="18"/>
              </w:rPr>
              <w:t xml:space="preserve"> </w:t>
            </w:r>
            <w:r>
              <w:rPr>
                <w:b/>
                <w:sz w:val="18"/>
                <w:szCs w:val="18"/>
              </w:rPr>
              <w:t>C</w:t>
            </w:r>
          </w:p>
        </w:tc>
      </w:tr>
      <w:tr w:rsidR="0028006E" w14:paraId="13B0C877" w14:textId="77777777" w:rsidTr="004A7EDD">
        <w:tc>
          <w:tcPr>
            <w:tcW w:w="4673" w:type="dxa"/>
            <w:tcBorders>
              <w:top w:val="single" w:sz="4" w:space="0" w:color="auto"/>
              <w:left w:val="single" w:sz="4" w:space="0" w:color="auto"/>
              <w:bottom w:val="single" w:sz="4" w:space="0" w:color="auto"/>
              <w:right w:val="single" w:sz="4" w:space="0" w:color="auto"/>
            </w:tcBorders>
          </w:tcPr>
          <w:p w14:paraId="7F59055E" w14:textId="6F3709CE" w:rsidR="0028006E" w:rsidRPr="008B323E" w:rsidRDefault="0028006E" w:rsidP="008B323E">
            <w:pPr>
              <w:pStyle w:val="ListParagraph"/>
              <w:numPr>
                <w:ilvl w:val="0"/>
                <w:numId w:val="25"/>
              </w:numPr>
              <w:spacing w:before="60" w:after="60"/>
              <w:rPr>
                <w:bCs/>
                <w:i/>
                <w:iCs/>
                <w:sz w:val="18"/>
                <w:szCs w:val="18"/>
                <w:lang w:val="en-GB"/>
              </w:rPr>
            </w:pPr>
            <w:r w:rsidRPr="008B323E">
              <w:rPr>
                <w:bCs/>
                <w:i/>
                <w:iCs/>
                <w:sz w:val="18"/>
                <w:szCs w:val="18"/>
                <w:lang w:val="en-GB"/>
              </w:rPr>
              <w:t xml:space="preserve">Limit of reporting/analytical capabilities </w:t>
            </w:r>
          </w:p>
          <w:p w14:paraId="69020277" w14:textId="77777777" w:rsidR="0028006E" w:rsidRPr="002A0902" w:rsidRDefault="0028006E" w:rsidP="00044D37">
            <w:pPr>
              <w:spacing w:before="60" w:after="60" w:line="240" w:lineRule="auto"/>
              <w:ind w:left="744"/>
              <w:rPr>
                <w:bCs/>
                <w:sz w:val="18"/>
                <w:szCs w:val="18"/>
                <w:lang w:val="en-GB"/>
              </w:rPr>
            </w:pPr>
            <w:r w:rsidRPr="002A0902">
              <w:rPr>
                <w:bCs/>
                <w:sz w:val="18"/>
                <w:szCs w:val="18"/>
                <w:lang w:val="en-GB"/>
              </w:rPr>
              <w:t xml:space="preserve">The common limit of reporting (LOR) for copper in most environmental water samples is 0.001 mg/L (i.e. 1 </w:t>
            </w:r>
            <w:proofErr w:type="spellStart"/>
            <w:r w:rsidRPr="002A0902">
              <w:rPr>
                <w:bCs/>
                <w:sz w:val="18"/>
                <w:szCs w:val="18"/>
                <w:lang w:val="en-GB"/>
              </w:rPr>
              <w:t>μg</w:t>
            </w:r>
            <w:proofErr w:type="spellEnd"/>
            <w:r w:rsidRPr="002A0902">
              <w:rPr>
                <w:bCs/>
                <w:sz w:val="18"/>
                <w:szCs w:val="18"/>
                <w:lang w:val="en-GB"/>
              </w:rPr>
              <w:t xml:space="preserve">/L) particularly for seawater. The proposed DGV for copper in seawater is 0.0004 </w:t>
            </w:r>
            <w:r w:rsidRPr="002A0902">
              <w:rPr>
                <w:bCs/>
                <w:sz w:val="18"/>
                <w:szCs w:val="18"/>
                <w:lang w:val="en-GB"/>
              </w:rPr>
              <w:lastRenderedPageBreak/>
              <w:t xml:space="preserve">mg/L (i.e. 0.4 </w:t>
            </w:r>
            <w:proofErr w:type="spellStart"/>
            <w:r w:rsidRPr="002A0902">
              <w:rPr>
                <w:bCs/>
                <w:sz w:val="18"/>
                <w:szCs w:val="18"/>
                <w:lang w:val="en-GB"/>
              </w:rPr>
              <w:t>μg</w:t>
            </w:r>
            <w:proofErr w:type="spellEnd"/>
            <w:r w:rsidRPr="002A0902">
              <w:rPr>
                <w:bCs/>
                <w:sz w:val="18"/>
                <w:szCs w:val="18"/>
                <w:lang w:val="en-GB"/>
              </w:rPr>
              <w:t>/L). There were already issues in confidently demonstrating that a water body contained copper in compliance with the existing DGV – _i.e. 0.0013 mg/L. With this reduction in the value, the issue of what the laboratories can actually achieve is critical in considering the practicality of this</w:t>
            </w:r>
            <w:r>
              <w:rPr>
                <w:bCs/>
                <w:sz w:val="18"/>
                <w:szCs w:val="18"/>
                <w:lang w:val="en-GB"/>
              </w:rPr>
              <w:t xml:space="preserve"> </w:t>
            </w:r>
            <w:r w:rsidRPr="002A0902">
              <w:rPr>
                <w:bCs/>
                <w:sz w:val="18"/>
                <w:szCs w:val="18"/>
                <w:lang w:val="en-GB"/>
              </w:rPr>
              <w:t xml:space="preserve">DGV. This does not appear to be covered/discussed in the technical brief. It is noted that a search for the term quantitation or PQL indicates these terms are not used in the technical brief. </w:t>
            </w:r>
          </w:p>
          <w:p w14:paraId="0D25798F" w14:textId="77777777" w:rsidR="0028006E" w:rsidRPr="002A0902" w:rsidRDefault="0028006E" w:rsidP="00044D37">
            <w:pPr>
              <w:spacing w:before="60" w:after="60" w:line="240" w:lineRule="auto"/>
              <w:ind w:left="744"/>
              <w:rPr>
                <w:bCs/>
                <w:sz w:val="18"/>
                <w:szCs w:val="18"/>
                <w:lang w:val="en-GB"/>
              </w:rPr>
            </w:pPr>
            <w:r w:rsidRPr="002A0902">
              <w:rPr>
                <w:bCs/>
                <w:sz w:val="18"/>
                <w:szCs w:val="18"/>
                <w:lang w:val="en-GB"/>
              </w:rPr>
              <w:t xml:space="preserve">Pricing of analysis is also an important consideration. If the laboratories are required to use ultra trace techniques to provide a limit of reporting at around 0.0004 mg/L, this will cost significantly more than the standard analysis. If there had been a significant change due to significant new data, this could be justified. However, the situation seems to be a slight tweaking of the SSD. In addition, the potential for cross contamination in the laboratory greatly increases when doing ultra trace work. </w:t>
            </w:r>
          </w:p>
          <w:p w14:paraId="62D89B6E" w14:textId="71B50CC2" w:rsidR="0028006E" w:rsidRPr="004A7EDD" w:rsidRDefault="0028006E" w:rsidP="00044D37">
            <w:pPr>
              <w:spacing w:before="60" w:after="60" w:line="240" w:lineRule="auto"/>
              <w:ind w:left="744"/>
              <w:rPr>
                <w:bCs/>
                <w:sz w:val="18"/>
                <w:szCs w:val="18"/>
              </w:rPr>
            </w:pPr>
            <w:r w:rsidRPr="002A0902">
              <w:rPr>
                <w:bCs/>
                <w:sz w:val="18"/>
                <w:szCs w:val="18"/>
                <w:lang w:val="en-GB"/>
              </w:rPr>
              <w:t>Another issue in relation to analysis is the measurement error when concentrations are close to the LOR. The error at concentrations around the LOR is large, so it is important to consider whether the laboratories can really determine if a sample measured at 0.0004 mg/L is really different from one measured at 0.0013 mg/L. It is likely the labs would not be confident that such results are actually different.</w:t>
            </w:r>
          </w:p>
        </w:tc>
        <w:tc>
          <w:tcPr>
            <w:tcW w:w="5954" w:type="dxa"/>
            <w:tcBorders>
              <w:top w:val="single" w:sz="4" w:space="0" w:color="auto"/>
              <w:left w:val="single" w:sz="4" w:space="0" w:color="auto"/>
              <w:bottom w:val="single" w:sz="4" w:space="0" w:color="auto"/>
              <w:right w:val="single" w:sz="4" w:space="0" w:color="auto"/>
            </w:tcBorders>
          </w:tcPr>
          <w:p w14:paraId="2ACFB164" w14:textId="4FE82D83" w:rsidR="0028006E" w:rsidRPr="004A7EDD" w:rsidRDefault="00D62FEF" w:rsidP="0028006E">
            <w:pPr>
              <w:spacing w:before="60" w:after="60" w:line="240" w:lineRule="auto"/>
              <w:rPr>
                <w:iCs/>
                <w:sz w:val="18"/>
                <w:szCs w:val="18"/>
              </w:rPr>
            </w:pPr>
            <w:r>
              <w:rPr>
                <w:iCs/>
                <w:sz w:val="18"/>
                <w:szCs w:val="18"/>
              </w:rPr>
              <w:lastRenderedPageBreak/>
              <w:t>It is acknowledged</w:t>
            </w:r>
            <w:r w:rsidR="002C4677">
              <w:rPr>
                <w:iCs/>
                <w:sz w:val="18"/>
                <w:szCs w:val="18"/>
              </w:rPr>
              <w:t xml:space="preserve"> that this can be difficult, however it is expected that </w:t>
            </w:r>
            <w:r w:rsidR="003C299A">
              <w:rPr>
                <w:iCs/>
                <w:sz w:val="18"/>
                <w:szCs w:val="18"/>
              </w:rPr>
              <w:t>many</w:t>
            </w:r>
            <w:r w:rsidR="002C4677">
              <w:rPr>
                <w:iCs/>
                <w:sz w:val="18"/>
                <w:szCs w:val="18"/>
              </w:rPr>
              <w:t xml:space="preserve"> coastal waters will have </w:t>
            </w:r>
            <w:r w:rsidR="003C299A">
              <w:rPr>
                <w:iCs/>
                <w:sz w:val="18"/>
                <w:szCs w:val="18"/>
              </w:rPr>
              <w:t>DOC &gt; 0.5 mg/L</w:t>
            </w:r>
            <w:r>
              <w:rPr>
                <w:iCs/>
                <w:sz w:val="18"/>
                <w:szCs w:val="18"/>
              </w:rPr>
              <w:t>, and the associated DGV for the measured DOC concentration should be above the limit of reporting</w:t>
            </w:r>
            <w:r w:rsidR="003C299A">
              <w:rPr>
                <w:iCs/>
                <w:sz w:val="18"/>
                <w:szCs w:val="18"/>
              </w:rPr>
              <w:t>. Further</w:t>
            </w:r>
            <w:r>
              <w:rPr>
                <w:iCs/>
                <w:sz w:val="18"/>
                <w:szCs w:val="18"/>
              </w:rPr>
              <w:t>more</w:t>
            </w:r>
            <w:r w:rsidR="003C299A">
              <w:rPr>
                <w:iCs/>
                <w:sz w:val="18"/>
                <w:szCs w:val="18"/>
              </w:rPr>
              <w:t xml:space="preserve">, laboratories often improve methods where there is demand – this </w:t>
            </w:r>
            <w:r w:rsidR="003C299A">
              <w:rPr>
                <w:iCs/>
                <w:sz w:val="18"/>
                <w:szCs w:val="18"/>
              </w:rPr>
              <w:lastRenderedPageBreak/>
              <w:t xml:space="preserve">may occur in the case of seawater analyses. </w:t>
            </w:r>
            <w:r>
              <w:rPr>
                <w:iCs/>
                <w:sz w:val="18"/>
                <w:szCs w:val="18"/>
              </w:rPr>
              <w:t>Also see response to comment 7 for submission A.</w:t>
            </w:r>
          </w:p>
        </w:tc>
        <w:tc>
          <w:tcPr>
            <w:tcW w:w="3118" w:type="dxa"/>
            <w:tcBorders>
              <w:top w:val="single" w:sz="4" w:space="0" w:color="auto"/>
              <w:left w:val="single" w:sz="4" w:space="0" w:color="auto"/>
              <w:bottom w:val="single" w:sz="4" w:space="0" w:color="auto"/>
              <w:right w:val="single" w:sz="4" w:space="0" w:color="auto"/>
            </w:tcBorders>
          </w:tcPr>
          <w:p w14:paraId="7CD5086A" w14:textId="3FD7EBBB" w:rsidR="0028006E" w:rsidRPr="004A7EDD" w:rsidRDefault="005E1C22" w:rsidP="0028006E">
            <w:pPr>
              <w:spacing w:before="60" w:after="60" w:line="280" w:lineRule="atLeast"/>
              <w:rPr>
                <w:sz w:val="18"/>
                <w:szCs w:val="18"/>
              </w:rPr>
            </w:pPr>
            <w:r>
              <w:rPr>
                <w:sz w:val="18"/>
                <w:szCs w:val="18"/>
              </w:rPr>
              <w:lastRenderedPageBreak/>
              <w:t xml:space="preserve">See </w:t>
            </w:r>
            <w:r w:rsidR="00AC33FB">
              <w:rPr>
                <w:sz w:val="18"/>
                <w:szCs w:val="18"/>
              </w:rPr>
              <w:t>action taken for</w:t>
            </w:r>
            <w:r>
              <w:rPr>
                <w:sz w:val="18"/>
                <w:szCs w:val="18"/>
              </w:rPr>
              <w:t xml:space="preserve"> comment 7 from submission A.</w:t>
            </w:r>
          </w:p>
        </w:tc>
      </w:tr>
      <w:tr w:rsidR="0028006E" w14:paraId="0E7E79B4" w14:textId="77777777" w:rsidTr="004A7EDD">
        <w:tc>
          <w:tcPr>
            <w:tcW w:w="4673" w:type="dxa"/>
            <w:tcBorders>
              <w:top w:val="single" w:sz="4" w:space="0" w:color="auto"/>
              <w:left w:val="single" w:sz="4" w:space="0" w:color="auto"/>
              <w:bottom w:val="single" w:sz="4" w:space="0" w:color="auto"/>
              <w:right w:val="single" w:sz="4" w:space="0" w:color="auto"/>
            </w:tcBorders>
          </w:tcPr>
          <w:p w14:paraId="33775A46" w14:textId="75CE2665" w:rsidR="0028006E" w:rsidRPr="008B323E" w:rsidRDefault="0028006E" w:rsidP="008B323E">
            <w:pPr>
              <w:pStyle w:val="ListParagraph"/>
              <w:numPr>
                <w:ilvl w:val="0"/>
                <w:numId w:val="25"/>
              </w:numPr>
              <w:spacing w:before="60" w:after="60"/>
              <w:rPr>
                <w:bCs/>
                <w:i/>
                <w:iCs/>
                <w:sz w:val="18"/>
                <w:szCs w:val="18"/>
                <w:lang w:val="en-GB"/>
              </w:rPr>
            </w:pPr>
            <w:r w:rsidRPr="008B323E">
              <w:rPr>
                <w:bCs/>
                <w:i/>
                <w:iCs/>
                <w:sz w:val="18"/>
                <w:szCs w:val="18"/>
                <w:lang w:val="en-GB"/>
              </w:rPr>
              <w:t xml:space="preserve">Significance of change </w:t>
            </w:r>
          </w:p>
          <w:p w14:paraId="04CEFEB5" w14:textId="77777777" w:rsidR="0028006E" w:rsidRPr="002A0902" w:rsidRDefault="0028006E" w:rsidP="00044D37">
            <w:pPr>
              <w:spacing w:before="60" w:after="60" w:line="240" w:lineRule="auto"/>
              <w:ind w:left="744"/>
              <w:rPr>
                <w:bCs/>
                <w:sz w:val="18"/>
                <w:szCs w:val="18"/>
                <w:lang w:val="en-GB"/>
              </w:rPr>
            </w:pPr>
            <w:r w:rsidRPr="002A0902">
              <w:rPr>
                <w:bCs/>
                <w:sz w:val="18"/>
                <w:szCs w:val="18"/>
                <w:lang w:val="en-GB"/>
              </w:rPr>
              <w:t xml:space="preserve">When the National Environment Protection Measure for the Assessment of Site Contamination (ASC NEPM) was updated in 2013, one of the considerations as to whether a health </w:t>
            </w:r>
            <w:r w:rsidRPr="002A0902">
              <w:rPr>
                <w:bCs/>
                <w:sz w:val="18"/>
                <w:szCs w:val="18"/>
                <w:lang w:val="en-GB"/>
              </w:rPr>
              <w:lastRenderedPageBreak/>
              <w:t xml:space="preserve">investigation level (HIL) would change or not was the size of the change between the original HIL from 1998 and the newly calculated HIL using more comprehensive and standardised calculations and the most recent information on toxicity and background exposure. If the change between the 1998 value and the newly calculated value was not great, then no change to the HIL value was made in the updated NEPM. </w:t>
            </w:r>
          </w:p>
          <w:p w14:paraId="7CED7276" w14:textId="1D6FCC97" w:rsidR="0028006E" w:rsidRPr="002A0902" w:rsidRDefault="0028006E" w:rsidP="00044D37">
            <w:pPr>
              <w:spacing w:before="60" w:after="60" w:line="240" w:lineRule="auto"/>
              <w:ind w:left="744"/>
              <w:rPr>
                <w:bCs/>
                <w:sz w:val="18"/>
                <w:szCs w:val="18"/>
                <w:lang w:val="en-GB"/>
              </w:rPr>
            </w:pPr>
            <w:r w:rsidRPr="002A0902">
              <w:rPr>
                <w:bCs/>
                <w:sz w:val="18"/>
                <w:szCs w:val="18"/>
                <w:lang w:val="en-GB"/>
              </w:rPr>
              <w:t xml:space="preserve">There should be some consideration of a similar approach here for DGVs. If such a recalculation does not change the value significantly, especially when the analytical error at concentrations around the LOR are considered, then no change to the current value should be made. </w:t>
            </w:r>
          </w:p>
          <w:p w14:paraId="536C280E" w14:textId="3C4D255C" w:rsidR="0028006E" w:rsidRPr="004A7EDD" w:rsidRDefault="0028006E" w:rsidP="00044D37">
            <w:pPr>
              <w:spacing w:before="60" w:after="60" w:line="240" w:lineRule="auto"/>
              <w:ind w:left="744"/>
              <w:rPr>
                <w:bCs/>
                <w:sz w:val="18"/>
                <w:szCs w:val="18"/>
              </w:rPr>
            </w:pPr>
            <w:r w:rsidRPr="002A0902">
              <w:rPr>
                <w:bCs/>
                <w:sz w:val="18"/>
                <w:szCs w:val="18"/>
                <w:lang w:val="en-GB"/>
              </w:rPr>
              <w:t>It is also noted that the change in the DGV for copper in marine waters would be within the sampling error for many situations.</w:t>
            </w:r>
          </w:p>
        </w:tc>
        <w:tc>
          <w:tcPr>
            <w:tcW w:w="5954" w:type="dxa"/>
            <w:tcBorders>
              <w:top w:val="single" w:sz="4" w:space="0" w:color="auto"/>
              <w:left w:val="single" w:sz="4" w:space="0" w:color="auto"/>
              <w:bottom w:val="single" w:sz="4" w:space="0" w:color="auto"/>
              <w:right w:val="single" w:sz="4" w:space="0" w:color="auto"/>
            </w:tcBorders>
          </w:tcPr>
          <w:p w14:paraId="77497022" w14:textId="66F635E9" w:rsidR="0028006E" w:rsidRPr="004A7EDD" w:rsidRDefault="00E37859" w:rsidP="0028006E">
            <w:pPr>
              <w:spacing w:before="60" w:after="60" w:line="240" w:lineRule="auto"/>
              <w:rPr>
                <w:iCs/>
                <w:sz w:val="18"/>
                <w:szCs w:val="18"/>
              </w:rPr>
            </w:pPr>
            <w:r>
              <w:rPr>
                <w:iCs/>
                <w:sz w:val="18"/>
                <w:szCs w:val="18"/>
              </w:rPr>
              <w:lastRenderedPageBreak/>
              <w:t xml:space="preserve">This issue was considered by the ANZG jurisdictional committees. It was agreed that it is not appropriate to adopt a ‘significance of change’ rule such as that included in the ASC NEPM. </w:t>
            </w:r>
            <w:r w:rsidRPr="00E37859">
              <w:rPr>
                <w:bCs/>
                <w:iCs/>
                <w:sz w:val="18"/>
                <w:szCs w:val="18"/>
                <w:lang w:val="en-GB"/>
              </w:rPr>
              <w:t xml:space="preserve">From a technical perspective, and while acknowledging the issues of uncertainty and sampling/measurement error when comparing two similar guideline values, </w:t>
            </w:r>
            <w:proofErr w:type="gramStart"/>
            <w:r w:rsidRPr="00E37859">
              <w:rPr>
                <w:bCs/>
                <w:iCs/>
                <w:sz w:val="18"/>
                <w:szCs w:val="18"/>
                <w:lang w:val="en-GB"/>
              </w:rPr>
              <w:t>newly-derived</w:t>
            </w:r>
            <w:proofErr w:type="gramEnd"/>
            <w:r w:rsidRPr="00E37859">
              <w:rPr>
                <w:bCs/>
                <w:iCs/>
                <w:sz w:val="18"/>
                <w:szCs w:val="18"/>
                <w:lang w:val="en-GB"/>
              </w:rPr>
              <w:t xml:space="preserve"> DGVs will typically </w:t>
            </w:r>
            <w:r w:rsidRPr="00E37859">
              <w:rPr>
                <w:bCs/>
                <w:iCs/>
                <w:sz w:val="18"/>
                <w:szCs w:val="18"/>
                <w:lang w:val="en-GB"/>
              </w:rPr>
              <w:lastRenderedPageBreak/>
              <w:t>carry greater confidence than older DGVs as they will be based on (i) updated knowledge of the toxicant, (ii) usually more toxicity data, and (iii) a more robust derivation method. Thus, even if the final DGVs are similar to older DGVs (e.g. from ANZECC/ARMCANZ 2000), there will typically be greater stakeholder confidence in the newer DGVs, and it is appropriate that these should take precedence over older DGVs. Moreover, there is a comprehensive peer and stakeholder review process that scrutinises and helps ensure the high rigour of revised DGVs.</w:t>
            </w:r>
          </w:p>
        </w:tc>
        <w:tc>
          <w:tcPr>
            <w:tcW w:w="3118" w:type="dxa"/>
            <w:tcBorders>
              <w:top w:val="single" w:sz="4" w:space="0" w:color="auto"/>
              <w:left w:val="single" w:sz="4" w:space="0" w:color="auto"/>
              <w:bottom w:val="single" w:sz="4" w:space="0" w:color="auto"/>
              <w:right w:val="single" w:sz="4" w:space="0" w:color="auto"/>
            </w:tcBorders>
          </w:tcPr>
          <w:p w14:paraId="575FBA64" w14:textId="2B447B22" w:rsidR="0028006E" w:rsidRPr="004A7EDD" w:rsidRDefault="00E37859" w:rsidP="0028006E">
            <w:pPr>
              <w:spacing w:before="60" w:after="60" w:line="280" w:lineRule="atLeast"/>
              <w:rPr>
                <w:sz w:val="18"/>
                <w:szCs w:val="18"/>
              </w:rPr>
            </w:pPr>
            <w:r>
              <w:rPr>
                <w:sz w:val="18"/>
                <w:szCs w:val="18"/>
              </w:rPr>
              <w:lastRenderedPageBreak/>
              <w:t>No action taken.</w:t>
            </w:r>
          </w:p>
        </w:tc>
      </w:tr>
      <w:tr w:rsidR="0028006E" w14:paraId="21480DF2" w14:textId="77777777" w:rsidTr="004A7EDD">
        <w:tc>
          <w:tcPr>
            <w:tcW w:w="4673" w:type="dxa"/>
            <w:tcBorders>
              <w:top w:val="single" w:sz="4" w:space="0" w:color="auto"/>
              <w:left w:val="single" w:sz="4" w:space="0" w:color="auto"/>
              <w:bottom w:val="single" w:sz="4" w:space="0" w:color="auto"/>
              <w:right w:val="single" w:sz="4" w:space="0" w:color="auto"/>
            </w:tcBorders>
          </w:tcPr>
          <w:p w14:paraId="4DA512E2" w14:textId="141AD7F7" w:rsidR="0028006E" w:rsidRPr="008B323E" w:rsidRDefault="0028006E" w:rsidP="008B323E">
            <w:pPr>
              <w:pStyle w:val="ListParagraph"/>
              <w:numPr>
                <w:ilvl w:val="0"/>
                <w:numId w:val="25"/>
              </w:numPr>
              <w:spacing w:before="60" w:after="60"/>
              <w:rPr>
                <w:bCs/>
                <w:i/>
                <w:iCs/>
                <w:sz w:val="18"/>
                <w:szCs w:val="18"/>
                <w:lang w:val="en-GB"/>
              </w:rPr>
            </w:pPr>
            <w:r w:rsidRPr="008B323E">
              <w:rPr>
                <w:bCs/>
                <w:i/>
                <w:iCs/>
                <w:sz w:val="18"/>
                <w:szCs w:val="18"/>
                <w:lang w:val="en-GB"/>
              </w:rPr>
              <w:t xml:space="preserve">Essentiality of copper </w:t>
            </w:r>
          </w:p>
          <w:p w14:paraId="03558327" w14:textId="50D2429D" w:rsidR="0028006E" w:rsidRPr="004A7EDD" w:rsidRDefault="0028006E" w:rsidP="00044D37">
            <w:pPr>
              <w:spacing w:before="60" w:after="60" w:line="240" w:lineRule="auto"/>
              <w:ind w:left="744"/>
              <w:rPr>
                <w:bCs/>
                <w:sz w:val="18"/>
                <w:szCs w:val="18"/>
              </w:rPr>
            </w:pPr>
            <w:r w:rsidRPr="00582CD4">
              <w:rPr>
                <w:bCs/>
                <w:sz w:val="18"/>
                <w:szCs w:val="18"/>
                <w:lang w:val="en-GB"/>
              </w:rPr>
              <w:t xml:space="preserve">The fact that copper is an essential micronutrient is mentioned on a number of occasions in the technical brief but there is no information provided as to whether the newly proposed DGV would actually provide sufficient copper for many species. There is also not much information provided as to whether the effects on the various algal/diatom species (most sensitive species type) are due to too much or too little copper. The same effects might be observed in the study (i.e. lack of population growth) but the cause may be too little copper rather than too much. The data quality assessment should be expanded in the case of essential micronutrients to include a check as to whether the studies considered this aspect and to ensure that the dose response in the study clearly demonstrates that the effects are due to too </w:t>
            </w:r>
            <w:r w:rsidRPr="00582CD4">
              <w:rPr>
                <w:bCs/>
                <w:sz w:val="18"/>
                <w:szCs w:val="18"/>
                <w:lang w:val="en-GB"/>
              </w:rPr>
              <w:lastRenderedPageBreak/>
              <w:t>much of the micronutrient. Some discussion of this aspect and how it has been considered to ensure that less sensitive species are not subject to conditions that could result in deficiency has been addressed.</w:t>
            </w:r>
          </w:p>
        </w:tc>
        <w:tc>
          <w:tcPr>
            <w:tcW w:w="5954" w:type="dxa"/>
            <w:tcBorders>
              <w:top w:val="single" w:sz="4" w:space="0" w:color="auto"/>
              <w:left w:val="single" w:sz="4" w:space="0" w:color="auto"/>
              <w:bottom w:val="single" w:sz="4" w:space="0" w:color="auto"/>
              <w:right w:val="single" w:sz="4" w:space="0" w:color="auto"/>
            </w:tcBorders>
          </w:tcPr>
          <w:p w14:paraId="08CC470B" w14:textId="080DC348" w:rsidR="004E38F6" w:rsidRDefault="00FA6543" w:rsidP="008B48DF">
            <w:pPr>
              <w:spacing w:before="60" w:after="60" w:line="240" w:lineRule="auto"/>
              <w:rPr>
                <w:iCs/>
                <w:sz w:val="18"/>
                <w:szCs w:val="18"/>
              </w:rPr>
            </w:pPr>
            <w:r>
              <w:rPr>
                <w:iCs/>
                <w:sz w:val="18"/>
                <w:szCs w:val="18"/>
              </w:rPr>
              <w:lastRenderedPageBreak/>
              <w:t xml:space="preserve">The most sensitive </w:t>
            </w:r>
            <w:r w:rsidR="00A36C90">
              <w:rPr>
                <w:iCs/>
                <w:sz w:val="18"/>
                <w:szCs w:val="18"/>
              </w:rPr>
              <w:t xml:space="preserve">microalgae include </w:t>
            </w:r>
            <w:proofErr w:type="spellStart"/>
            <w:r w:rsidR="004347A7" w:rsidRPr="00BA7E30">
              <w:rPr>
                <w:i/>
                <w:sz w:val="18"/>
                <w:szCs w:val="18"/>
              </w:rPr>
              <w:t>Minutocellus</w:t>
            </w:r>
            <w:proofErr w:type="spellEnd"/>
            <w:r w:rsidR="004347A7" w:rsidRPr="00BA7E30">
              <w:rPr>
                <w:i/>
                <w:sz w:val="18"/>
                <w:szCs w:val="18"/>
              </w:rPr>
              <w:t xml:space="preserve"> </w:t>
            </w:r>
            <w:proofErr w:type="spellStart"/>
            <w:r w:rsidR="004347A7" w:rsidRPr="00BA7E30">
              <w:rPr>
                <w:i/>
                <w:sz w:val="18"/>
                <w:szCs w:val="18"/>
              </w:rPr>
              <w:t>polymorphus</w:t>
            </w:r>
            <w:proofErr w:type="spellEnd"/>
            <w:r w:rsidR="004347A7" w:rsidRPr="00BA7E30">
              <w:rPr>
                <w:iCs/>
                <w:sz w:val="18"/>
                <w:szCs w:val="18"/>
              </w:rPr>
              <w:t xml:space="preserve"> (0.2 </w:t>
            </w:r>
            <w:r w:rsidR="008B48DF">
              <w:rPr>
                <w:rFonts w:cs="Calibri"/>
                <w:iCs/>
                <w:sz w:val="18"/>
                <w:szCs w:val="18"/>
              </w:rPr>
              <w:t>µ</w:t>
            </w:r>
            <w:r w:rsidR="004347A7" w:rsidRPr="00BA7E30">
              <w:rPr>
                <w:iCs/>
                <w:sz w:val="18"/>
                <w:szCs w:val="18"/>
              </w:rPr>
              <w:t xml:space="preserve">g/L), </w:t>
            </w:r>
            <w:proofErr w:type="spellStart"/>
            <w:r w:rsidR="00CE24BF" w:rsidRPr="00BA7E30">
              <w:rPr>
                <w:i/>
                <w:sz w:val="18"/>
                <w:szCs w:val="18"/>
              </w:rPr>
              <w:t>Micromonas</w:t>
            </w:r>
            <w:proofErr w:type="spellEnd"/>
            <w:r w:rsidR="00CE24BF" w:rsidRPr="00BA7E30">
              <w:rPr>
                <w:i/>
                <w:sz w:val="18"/>
                <w:szCs w:val="18"/>
              </w:rPr>
              <w:t xml:space="preserve"> pusilla </w:t>
            </w:r>
            <w:r w:rsidR="00CE24BF" w:rsidRPr="00BA7E30">
              <w:rPr>
                <w:iCs/>
                <w:sz w:val="18"/>
                <w:szCs w:val="18"/>
              </w:rPr>
              <w:t xml:space="preserve">(0.3 </w:t>
            </w:r>
            <w:r w:rsidR="000F33B0">
              <w:rPr>
                <w:rFonts w:cs="Calibri"/>
                <w:iCs/>
                <w:sz w:val="18"/>
                <w:szCs w:val="18"/>
              </w:rPr>
              <w:t>µ</w:t>
            </w:r>
            <w:r w:rsidR="00CE24BF" w:rsidRPr="00BA7E30">
              <w:rPr>
                <w:iCs/>
                <w:sz w:val="18"/>
                <w:szCs w:val="18"/>
              </w:rPr>
              <w:t>g/L)</w:t>
            </w:r>
            <w:r w:rsidR="00CE24BF" w:rsidRPr="00BA7E30">
              <w:rPr>
                <w:i/>
                <w:sz w:val="18"/>
                <w:szCs w:val="18"/>
              </w:rPr>
              <w:t xml:space="preserve">, </w:t>
            </w:r>
            <w:proofErr w:type="spellStart"/>
            <w:r w:rsidR="00864C9B" w:rsidRPr="00BA7E30">
              <w:rPr>
                <w:i/>
                <w:sz w:val="18"/>
                <w:szCs w:val="18"/>
              </w:rPr>
              <w:t>Proteomonas</w:t>
            </w:r>
            <w:proofErr w:type="spellEnd"/>
            <w:r w:rsidR="00864C9B" w:rsidRPr="00BA7E30">
              <w:rPr>
                <w:i/>
                <w:sz w:val="18"/>
                <w:szCs w:val="18"/>
              </w:rPr>
              <w:t xml:space="preserve"> sulcata </w:t>
            </w:r>
            <w:r w:rsidR="00864C9B" w:rsidRPr="00BA7E30">
              <w:rPr>
                <w:iCs/>
                <w:sz w:val="18"/>
                <w:szCs w:val="18"/>
              </w:rPr>
              <w:t xml:space="preserve">(0.84 </w:t>
            </w:r>
            <w:r w:rsidR="000F33B0">
              <w:rPr>
                <w:rFonts w:cs="Calibri"/>
                <w:iCs/>
                <w:sz w:val="18"/>
                <w:szCs w:val="18"/>
              </w:rPr>
              <w:t>µ</w:t>
            </w:r>
            <w:r w:rsidR="00864C9B" w:rsidRPr="00BA7E30">
              <w:rPr>
                <w:iCs/>
                <w:sz w:val="18"/>
                <w:szCs w:val="18"/>
              </w:rPr>
              <w:t>g/L)</w:t>
            </w:r>
            <w:r w:rsidR="00C67039">
              <w:rPr>
                <w:iCs/>
                <w:sz w:val="18"/>
                <w:szCs w:val="18"/>
              </w:rPr>
              <w:t xml:space="preserve">; all from a </w:t>
            </w:r>
            <w:r w:rsidR="008B48DF">
              <w:rPr>
                <w:iCs/>
                <w:sz w:val="18"/>
                <w:szCs w:val="18"/>
              </w:rPr>
              <w:t xml:space="preserve">paper </w:t>
            </w:r>
            <w:r w:rsidR="00C67039">
              <w:rPr>
                <w:iCs/>
                <w:sz w:val="18"/>
                <w:szCs w:val="18"/>
              </w:rPr>
              <w:t>by Levy et al</w:t>
            </w:r>
            <w:r w:rsidR="008B48DF">
              <w:rPr>
                <w:iCs/>
                <w:sz w:val="18"/>
                <w:szCs w:val="18"/>
              </w:rPr>
              <w:t>.</w:t>
            </w:r>
            <w:r w:rsidR="00C67039">
              <w:rPr>
                <w:iCs/>
                <w:sz w:val="18"/>
                <w:szCs w:val="18"/>
              </w:rPr>
              <w:t xml:space="preserve"> (2007)</w:t>
            </w:r>
            <w:r w:rsidR="00044D37">
              <w:rPr>
                <w:iCs/>
                <w:sz w:val="18"/>
                <w:szCs w:val="18"/>
              </w:rPr>
              <w:t>,</w:t>
            </w:r>
            <w:r w:rsidR="008B48DF">
              <w:rPr>
                <w:iCs/>
                <w:sz w:val="18"/>
                <w:szCs w:val="18"/>
              </w:rPr>
              <w:t xml:space="preserve"> and </w:t>
            </w:r>
            <w:proofErr w:type="spellStart"/>
            <w:r w:rsidR="004E38F6" w:rsidRPr="00BA7E30">
              <w:rPr>
                <w:i/>
                <w:sz w:val="18"/>
                <w:szCs w:val="18"/>
              </w:rPr>
              <w:t>Phaeodactylum</w:t>
            </w:r>
            <w:proofErr w:type="spellEnd"/>
            <w:r w:rsidR="004E38F6" w:rsidRPr="00BA7E30">
              <w:rPr>
                <w:i/>
                <w:sz w:val="18"/>
                <w:szCs w:val="18"/>
              </w:rPr>
              <w:t xml:space="preserve"> </w:t>
            </w:r>
            <w:proofErr w:type="spellStart"/>
            <w:r w:rsidR="004E38F6" w:rsidRPr="00BA7E30">
              <w:rPr>
                <w:i/>
                <w:sz w:val="18"/>
                <w:szCs w:val="18"/>
              </w:rPr>
              <w:t>tricornutum</w:t>
            </w:r>
            <w:proofErr w:type="spellEnd"/>
            <w:r w:rsidR="004E38F6" w:rsidRPr="00BA7E30">
              <w:rPr>
                <w:i/>
                <w:sz w:val="18"/>
                <w:szCs w:val="18"/>
              </w:rPr>
              <w:t xml:space="preserve"> </w:t>
            </w:r>
            <w:r w:rsidR="004E38F6" w:rsidRPr="008B48DF">
              <w:rPr>
                <w:iCs/>
                <w:sz w:val="18"/>
                <w:szCs w:val="18"/>
              </w:rPr>
              <w:t xml:space="preserve">(0.7 </w:t>
            </w:r>
            <w:r w:rsidR="000F33B0">
              <w:rPr>
                <w:rFonts w:cs="Calibri"/>
                <w:iCs/>
                <w:sz w:val="18"/>
                <w:szCs w:val="18"/>
              </w:rPr>
              <w:t>µ</w:t>
            </w:r>
            <w:r w:rsidR="004E38F6" w:rsidRPr="008B48DF">
              <w:rPr>
                <w:iCs/>
                <w:sz w:val="18"/>
                <w:szCs w:val="18"/>
              </w:rPr>
              <w:t>g/L)</w:t>
            </w:r>
            <w:r w:rsidR="008B48DF">
              <w:rPr>
                <w:iCs/>
                <w:sz w:val="18"/>
                <w:szCs w:val="18"/>
              </w:rPr>
              <w:t xml:space="preserve"> from a paper by Angel et al. (2015).</w:t>
            </w:r>
          </w:p>
          <w:p w14:paraId="024E7A42" w14:textId="0D3CBDF2" w:rsidR="000231E0" w:rsidRDefault="00EA69ED" w:rsidP="008B48DF">
            <w:pPr>
              <w:spacing w:before="60" w:after="60" w:line="240" w:lineRule="auto"/>
              <w:rPr>
                <w:iCs/>
                <w:sz w:val="18"/>
                <w:szCs w:val="18"/>
              </w:rPr>
            </w:pPr>
            <w:r>
              <w:rPr>
                <w:iCs/>
                <w:sz w:val="18"/>
                <w:szCs w:val="18"/>
              </w:rPr>
              <w:t>N</w:t>
            </w:r>
            <w:r w:rsidR="000C1389">
              <w:rPr>
                <w:iCs/>
                <w:sz w:val="18"/>
                <w:szCs w:val="18"/>
              </w:rPr>
              <w:t xml:space="preserve">either of these papers discuss </w:t>
            </w:r>
            <w:r>
              <w:rPr>
                <w:iCs/>
                <w:sz w:val="18"/>
                <w:szCs w:val="18"/>
              </w:rPr>
              <w:t xml:space="preserve">essentiality of </w:t>
            </w:r>
            <w:r w:rsidR="00326A99">
              <w:rPr>
                <w:iCs/>
                <w:sz w:val="18"/>
                <w:szCs w:val="18"/>
              </w:rPr>
              <w:t xml:space="preserve">copper to </w:t>
            </w:r>
            <w:r>
              <w:rPr>
                <w:iCs/>
                <w:sz w:val="18"/>
                <w:szCs w:val="18"/>
              </w:rPr>
              <w:t>these algal species.</w:t>
            </w:r>
            <w:r w:rsidR="00BE58CA">
              <w:rPr>
                <w:iCs/>
                <w:sz w:val="18"/>
                <w:szCs w:val="18"/>
              </w:rPr>
              <w:t xml:space="preserve"> </w:t>
            </w:r>
            <w:r w:rsidR="00B32DCD">
              <w:rPr>
                <w:iCs/>
                <w:sz w:val="18"/>
                <w:szCs w:val="18"/>
              </w:rPr>
              <w:t>However, if there was an issue with insufficient copper limiting the algal growth, this would be expected to be observable through higher growth rates at moderate copper concentrations (indicating preferred conditions), before a reduction in growth rates at higher concentrations (where it becomes toxic)</w:t>
            </w:r>
            <w:r w:rsidR="00E37859">
              <w:rPr>
                <w:iCs/>
                <w:sz w:val="18"/>
                <w:szCs w:val="18"/>
              </w:rPr>
              <w:t xml:space="preserve"> (i.e. a </w:t>
            </w:r>
            <w:proofErr w:type="spellStart"/>
            <w:r w:rsidR="00E37859">
              <w:rPr>
                <w:iCs/>
                <w:sz w:val="18"/>
                <w:szCs w:val="18"/>
              </w:rPr>
              <w:t>hormetic</w:t>
            </w:r>
            <w:proofErr w:type="spellEnd"/>
            <w:r w:rsidR="00E37859">
              <w:rPr>
                <w:iCs/>
                <w:sz w:val="18"/>
                <w:szCs w:val="18"/>
              </w:rPr>
              <w:t xml:space="preserve"> effect)</w:t>
            </w:r>
            <w:r w:rsidR="00B32DCD">
              <w:rPr>
                <w:iCs/>
                <w:sz w:val="18"/>
                <w:szCs w:val="18"/>
              </w:rPr>
              <w:t>. There was no discussion of th</w:t>
            </w:r>
            <w:r w:rsidR="00E37859">
              <w:rPr>
                <w:iCs/>
                <w:sz w:val="18"/>
                <w:szCs w:val="18"/>
              </w:rPr>
              <w:t>is</w:t>
            </w:r>
            <w:r w:rsidR="00B32DCD">
              <w:rPr>
                <w:iCs/>
                <w:sz w:val="18"/>
                <w:szCs w:val="18"/>
              </w:rPr>
              <w:t xml:space="preserve"> occurring in Levy et al. (2007) and no evidence of </w:t>
            </w:r>
            <w:r w:rsidR="00E37859">
              <w:rPr>
                <w:iCs/>
                <w:sz w:val="18"/>
                <w:szCs w:val="18"/>
              </w:rPr>
              <w:t>such an</w:t>
            </w:r>
            <w:r w:rsidR="00B32DCD">
              <w:rPr>
                <w:iCs/>
                <w:sz w:val="18"/>
                <w:szCs w:val="18"/>
              </w:rPr>
              <w:t xml:space="preserve"> effect in the </w:t>
            </w:r>
            <w:r w:rsidR="00E37859">
              <w:rPr>
                <w:iCs/>
                <w:sz w:val="18"/>
                <w:szCs w:val="18"/>
              </w:rPr>
              <w:t>concentration</w:t>
            </w:r>
            <w:r w:rsidR="00B32DCD">
              <w:rPr>
                <w:iCs/>
                <w:sz w:val="18"/>
                <w:szCs w:val="18"/>
              </w:rPr>
              <w:t xml:space="preserve">-response relationships </w:t>
            </w:r>
            <w:r w:rsidR="000231E0">
              <w:rPr>
                <w:iCs/>
                <w:sz w:val="18"/>
                <w:szCs w:val="18"/>
              </w:rPr>
              <w:t>shown in Angel et al. (2015).</w:t>
            </w:r>
          </w:p>
          <w:p w14:paraId="6E6A40DC" w14:textId="0A1A5852" w:rsidR="000F33B0" w:rsidRDefault="000231E0" w:rsidP="00F32219">
            <w:pPr>
              <w:spacing w:before="60" w:after="60" w:line="240" w:lineRule="auto"/>
              <w:rPr>
                <w:iCs/>
                <w:sz w:val="18"/>
                <w:szCs w:val="18"/>
              </w:rPr>
            </w:pPr>
            <w:r>
              <w:rPr>
                <w:iCs/>
                <w:sz w:val="18"/>
                <w:szCs w:val="18"/>
              </w:rPr>
              <w:t xml:space="preserve">A further possible issue that has been suggested </w:t>
            </w:r>
            <w:r w:rsidR="00A64F4A">
              <w:rPr>
                <w:iCs/>
                <w:sz w:val="18"/>
                <w:szCs w:val="18"/>
              </w:rPr>
              <w:t xml:space="preserve">in toxicity testing relates to the culturing of organisms in low metal concentrations in the laboratory, resulting in higher </w:t>
            </w:r>
            <w:r w:rsidR="00E10244">
              <w:rPr>
                <w:iCs/>
                <w:sz w:val="18"/>
                <w:szCs w:val="18"/>
              </w:rPr>
              <w:t>sensitivity in toxicity tests. The algae used in these tests are all from cultures maintained in the laboratory</w:t>
            </w:r>
            <w:r w:rsidR="00F32219">
              <w:rPr>
                <w:iCs/>
                <w:sz w:val="18"/>
                <w:szCs w:val="18"/>
              </w:rPr>
              <w:t xml:space="preserve">, suggesting this is a possible mechanism for the high sensitivity. </w:t>
            </w:r>
            <w:r w:rsidR="00E37859">
              <w:rPr>
                <w:iCs/>
                <w:sz w:val="18"/>
                <w:szCs w:val="18"/>
              </w:rPr>
              <w:t>However, c</w:t>
            </w:r>
            <w:r w:rsidR="00F32219">
              <w:rPr>
                <w:iCs/>
                <w:sz w:val="18"/>
                <w:szCs w:val="18"/>
              </w:rPr>
              <w:t>opper i</w:t>
            </w:r>
            <w:r w:rsidR="00255587">
              <w:rPr>
                <w:iCs/>
                <w:sz w:val="18"/>
                <w:szCs w:val="18"/>
              </w:rPr>
              <w:t xml:space="preserve">s a component of the culture media </w:t>
            </w:r>
            <w:r w:rsidR="00F32219">
              <w:rPr>
                <w:iCs/>
                <w:sz w:val="18"/>
                <w:szCs w:val="18"/>
              </w:rPr>
              <w:lastRenderedPageBreak/>
              <w:t xml:space="preserve">used for each </w:t>
            </w:r>
            <w:r w:rsidR="00255587">
              <w:rPr>
                <w:iCs/>
                <w:sz w:val="18"/>
                <w:szCs w:val="18"/>
              </w:rPr>
              <w:t xml:space="preserve">(f medium or half strength </w:t>
            </w:r>
            <w:proofErr w:type="spellStart"/>
            <w:r w:rsidR="00255587">
              <w:rPr>
                <w:iCs/>
                <w:sz w:val="18"/>
                <w:szCs w:val="18"/>
              </w:rPr>
              <w:t>f</w:t>
            </w:r>
            <w:proofErr w:type="spellEnd"/>
            <w:r w:rsidR="00255587">
              <w:rPr>
                <w:iCs/>
                <w:sz w:val="18"/>
                <w:szCs w:val="18"/>
              </w:rPr>
              <w:t xml:space="preserve"> medium</w:t>
            </w:r>
            <w:r w:rsidR="006C49C3">
              <w:rPr>
                <w:iCs/>
                <w:sz w:val="18"/>
                <w:szCs w:val="18"/>
              </w:rPr>
              <w:t xml:space="preserve">, </w:t>
            </w:r>
            <w:r w:rsidR="000A03FC">
              <w:rPr>
                <w:iCs/>
                <w:sz w:val="18"/>
                <w:szCs w:val="18"/>
              </w:rPr>
              <w:t xml:space="preserve">with copper concentration </w:t>
            </w:r>
            <w:r w:rsidR="006C49C3" w:rsidRPr="00503ED1">
              <w:rPr>
                <w:iCs/>
                <w:sz w:val="18"/>
                <w:szCs w:val="18"/>
              </w:rPr>
              <w:t xml:space="preserve">around </w:t>
            </w:r>
            <w:r w:rsidR="006C49C3" w:rsidRPr="00826EA5">
              <w:rPr>
                <w:iCs/>
                <w:sz w:val="18"/>
                <w:szCs w:val="18"/>
              </w:rPr>
              <w:t>2</w:t>
            </w:r>
            <w:r w:rsidR="00304861" w:rsidRPr="00826EA5">
              <w:rPr>
                <w:iCs/>
                <w:sz w:val="18"/>
                <w:szCs w:val="18"/>
              </w:rPr>
              <w:t>-3.5</w:t>
            </w:r>
            <w:r w:rsidR="006C49C3" w:rsidRPr="00826EA5">
              <w:rPr>
                <w:iCs/>
                <w:sz w:val="18"/>
                <w:szCs w:val="18"/>
              </w:rPr>
              <w:t xml:space="preserve"> </w:t>
            </w:r>
            <w:r w:rsidR="000D0B5A" w:rsidRPr="00826EA5">
              <w:rPr>
                <w:rFonts w:cs="Calibri"/>
                <w:iCs/>
                <w:sz w:val="18"/>
                <w:szCs w:val="18"/>
              </w:rPr>
              <w:t>µ</w:t>
            </w:r>
            <w:r w:rsidR="006C49C3" w:rsidRPr="00826EA5">
              <w:rPr>
                <w:iCs/>
                <w:sz w:val="18"/>
                <w:szCs w:val="18"/>
              </w:rPr>
              <w:t>g/</w:t>
            </w:r>
            <w:r w:rsidR="006C49C3" w:rsidRPr="00503ED1">
              <w:rPr>
                <w:iCs/>
                <w:sz w:val="18"/>
                <w:szCs w:val="18"/>
              </w:rPr>
              <w:t>L</w:t>
            </w:r>
            <w:r w:rsidR="000D0B5A">
              <w:rPr>
                <w:iCs/>
                <w:sz w:val="18"/>
                <w:szCs w:val="18"/>
              </w:rPr>
              <w:t xml:space="preserve"> based on instructions for </w:t>
            </w:r>
            <w:r w:rsidR="00645972">
              <w:rPr>
                <w:iCs/>
                <w:sz w:val="18"/>
                <w:szCs w:val="18"/>
              </w:rPr>
              <w:t>preparation of media</w:t>
            </w:r>
            <w:r w:rsidR="006C49C3">
              <w:rPr>
                <w:iCs/>
                <w:sz w:val="18"/>
                <w:szCs w:val="18"/>
              </w:rPr>
              <w:t>)</w:t>
            </w:r>
            <w:r w:rsidR="00E37859">
              <w:rPr>
                <w:iCs/>
                <w:sz w:val="18"/>
                <w:szCs w:val="18"/>
              </w:rPr>
              <w:t>,</w:t>
            </w:r>
            <w:r w:rsidR="00255587">
              <w:rPr>
                <w:iCs/>
                <w:sz w:val="18"/>
                <w:szCs w:val="18"/>
              </w:rPr>
              <w:t xml:space="preserve"> indicating that copper is unlikely to have been </w:t>
            </w:r>
            <w:r w:rsidR="00BB455A">
              <w:rPr>
                <w:iCs/>
                <w:sz w:val="18"/>
                <w:szCs w:val="18"/>
              </w:rPr>
              <w:t>limiting in the culture medium</w:t>
            </w:r>
            <w:r w:rsidR="00A5406F">
              <w:rPr>
                <w:iCs/>
                <w:sz w:val="18"/>
                <w:szCs w:val="18"/>
              </w:rPr>
              <w:t xml:space="preserve">. These concentrations are </w:t>
            </w:r>
            <w:r w:rsidR="00ED2300">
              <w:rPr>
                <w:iCs/>
                <w:sz w:val="18"/>
                <w:szCs w:val="18"/>
              </w:rPr>
              <w:t>at, or higher than the range that might be expected in coastal waters.</w:t>
            </w:r>
          </w:p>
          <w:p w14:paraId="029520ED" w14:textId="759F64C3" w:rsidR="00173736" w:rsidRPr="004A7EDD" w:rsidRDefault="00173736" w:rsidP="00F32219">
            <w:pPr>
              <w:spacing w:before="60" w:after="60" w:line="240" w:lineRule="auto"/>
              <w:rPr>
                <w:iCs/>
                <w:sz w:val="18"/>
                <w:szCs w:val="18"/>
              </w:rPr>
            </w:pPr>
            <w:r>
              <w:rPr>
                <w:iCs/>
                <w:sz w:val="18"/>
                <w:szCs w:val="18"/>
              </w:rPr>
              <w:t xml:space="preserve">Consequently, it is considered unlikely that the DGVs will be below limits of essentiality. </w:t>
            </w:r>
          </w:p>
        </w:tc>
        <w:tc>
          <w:tcPr>
            <w:tcW w:w="3118" w:type="dxa"/>
            <w:tcBorders>
              <w:top w:val="single" w:sz="4" w:space="0" w:color="auto"/>
              <w:left w:val="single" w:sz="4" w:space="0" w:color="auto"/>
              <w:bottom w:val="single" w:sz="4" w:space="0" w:color="auto"/>
              <w:right w:val="single" w:sz="4" w:space="0" w:color="auto"/>
            </w:tcBorders>
          </w:tcPr>
          <w:p w14:paraId="2E1CC897" w14:textId="7B3350E6" w:rsidR="0028006E" w:rsidRPr="004A7EDD" w:rsidRDefault="00173736" w:rsidP="0028006E">
            <w:pPr>
              <w:spacing w:before="60" w:after="60" w:line="280" w:lineRule="atLeast"/>
              <w:rPr>
                <w:sz w:val="18"/>
                <w:szCs w:val="18"/>
              </w:rPr>
            </w:pPr>
            <w:r>
              <w:rPr>
                <w:sz w:val="18"/>
                <w:szCs w:val="18"/>
              </w:rPr>
              <w:lastRenderedPageBreak/>
              <w:t>Text has been</w:t>
            </w:r>
            <w:r w:rsidR="00F5013E">
              <w:rPr>
                <w:sz w:val="18"/>
                <w:szCs w:val="18"/>
              </w:rPr>
              <w:t xml:space="preserve"> added to </w:t>
            </w:r>
            <w:r>
              <w:rPr>
                <w:sz w:val="18"/>
                <w:szCs w:val="18"/>
              </w:rPr>
              <w:t>S</w:t>
            </w:r>
            <w:r w:rsidR="00F5013E">
              <w:rPr>
                <w:sz w:val="18"/>
                <w:szCs w:val="18"/>
              </w:rPr>
              <w:t>ection 4.2</w:t>
            </w:r>
            <w:r>
              <w:rPr>
                <w:sz w:val="18"/>
                <w:szCs w:val="18"/>
              </w:rPr>
              <w:t xml:space="preserve"> and</w:t>
            </w:r>
            <w:r w:rsidR="00AE0B10">
              <w:rPr>
                <w:sz w:val="18"/>
                <w:szCs w:val="18"/>
              </w:rPr>
              <w:t xml:space="preserve"> section 4.4</w:t>
            </w:r>
            <w:r>
              <w:rPr>
                <w:sz w:val="18"/>
                <w:szCs w:val="18"/>
              </w:rPr>
              <w:t xml:space="preserve"> to reflect this issue.</w:t>
            </w:r>
          </w:p>
        </w:tc>
      </w:tr>
      <w:tr w:rsidR="0028006E" w14:paraId="02C5917E" w14:textId="77777777" w:rsidTr="004A7EDD">
        <w:tc>
          <w:tcPr>
            <w:tcW w:w="4673" w:type="dxa"/>
            <w:tcBorders>
              <w:top w:val="single" w:sz="4" w:space="0" w:color="auto"/>
              <w:left w:val="single" w:sz="4" w:space="0" w:color="auto"/>
              <w:bottom w:val="single" w:sz="4" w:space="0" w:color="auto"/>
              <w:right w:val="single" w:sz="4" w:space="0" w:color="auto"/>
            </w:tcBorders>
          </w:tcPr>
          <w:p w14:paraId="4890784D" w14:textId="5BC1B473" w:rsidR="0028006E" w:rsidRPr="008B323E" w:rsidRDefault="0028006E" w:rsidP="008B323E">
            <w:pPr>
              <w:pStyle w:val="ListParagraph"/>
              <w:numPr>
                <w:ilvl w:val="0"/>
                <w:numId w:val="25"/>
              </w:numPr>
              <w:spacing w:before="60" w:after="60"/>
              <w:rPr>
                <w:bCs/>
                <w:i/>
                <w:iCs/>
                <w:sz w:val="18"/>
                <w:szCs w:val="18"/>
                <w:lang w:val="en-GB"/>
              </w:rPr>
            </w:pPr>
            <w:r w:rsidRPr="008B323E">
              <w:rPr>
                <w:bCs/>
                <w:i/>
                <w:iCs/>
                <w:sz w:val="18"/>
                <w:szCs w:val="18"/>
                <w:lang w:val="en-GB"/>
              </w:rPr>
              <w:t xml:space="preserve">Ambient levels of copper </w:t>
            </w:r>
          </w:p>
          <w:p w14:paraId="6963FBBC" w14:textId="77777777" w:rsidR="0028006E" w:rsidRPr="00582CD4" w:rsidRDefault="0028006E" w:rsidP="0028006E">
            <w:pPr>
              <w:spacing w:before="60" w:after="60" w:line="240" w:lineRule="auto"/>
              <w:rPr>
                <w:bCs/>
                <w:sz w:val="18"/>
                <w:szCs w:val="18"/>
                <w:lang w:val="en-GB"/>
              </w:rPr>
            </w:pPr>
            <w:r w:rsidRPr="00582CD4">
              <w:rPr>
                <w:bCs/>
                <w:sz w:val="18"/>
                <w:szCs w:val="18"/>
                <w:lang w:val="en-GB"/>
              </w:rPr>
              <w:t xml:space="preserve">Another important consideration in setting guideline values is the ambient concentrations for naturally occurring chemicals. In this case, geology in Australia means that copper is almost always reported at detectable levels in soil in all locations. This results in copper levels in surface and groundwaters being close to or above the existing water quality guideline values for copper in both fresh and marine situations especially those near urban (or mineralised) areas. </w:t>
            </w:r>
          </w:p>
          <w:p w14:paraId="79E9650D" w14:textId="3BBD4C5D" w:rsidR="0028006E" w:rsidRPr="004A7EDD" w:rsidRDefault="0028006E" w:rsidP="0028006E">
            <w:pPr>
              <w:spacing w:before="60" w:after="60" w:line="240" w:lineRule="auto"/>
              <w:rPr>
                <w:bCs/>
                <w:sz w:val="18"/>
                <w:szCs w:val="18"/>
              </w:rPr>
            </w:pPr>
            <w:r w:rsidRPr="00582CD4">
              <w:rPr>
                <w:bCs/>
                <w:sz w:val="18"/>
                <w:szCs w:val="18"/>
                <w:lang w:val="en-GB"/>
              </w:rPr>
              <w:t>There should be some discussion included in the document about what to do when normal ambient levels (in reference locations) are already above the new guideline value as this will be the case in most locations. This change in guideline value will mean that all sites will now have copper levels in excess so there needs to be information provided about how to address that matter in environmental studies and site investigations.</w:t>
            </w:r>
          </w:p>
        </w:tc>
        <w:tc>
          <w:tcPr>
            <w:tcW w:w="5954" w:type="dxa"/>
            <w:tcBorders>
              <w:top w:val="single" w:sz="4" w:space="0" w:color="auto"/>
              <w:left w:val="single" w:sz="4" w:space="0" w:color="auto"/>
              <w:bottom w:val="single" w:sz="4" w:space="0" w:color="auto"/>
              <w:right w:val="single" w:sz="4" w:space="0" w:color="auto"/>
            </w:tcBorders>
          </w:tcPr>
          <w:p w14:paraId="09D6AD12" w14:textId="61640C55" w:rsidR="0028006E" w:rsidRPr="004A7EDD" w:rsidRDefault="008B323E" w:rsidP="0028006E">
            <w:pPr>
              <w:spacing w:before="60" w:after="60" w:line="240" w:lineRule="auto"/>
              <w:rPr>
                <w:iCs/>
                <w:sz w:val="18"/>
                <w:szCs w:val="18"/>
              </w:rPr>
            </w:pPr>
            <w:r>
              <w:rPr>
                <w:bCs/>
                <w:sz w:val="18"/>
                <w:szCs w:val="18"/>
                <w:lang w:val="en-GB"/>
              </w:rPr>
              <w:t xml:space="preserve">The issue of background concentrations being higher than the DGVs was addressed in the response to comment 1 from submission B. As noted in this response, </w:t>
            </w:r>
            <w:r w:rsidRPr="004D0515">
              <w:rPr>
                <w:iCs/>
                <w:sz w:val="18"/>
                <w:szCs w:val="18"/>
              </w:rPr>
              <w:t>ANZG (2018) provides guidance in the event that a DGV is below natural background concentrations</w:t>
            </w:r>
            <w:r>
              <w:rPr>
                <w:iCs/>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tcPr>
          <w:p w14:paraId="0BBA3D12" w14:textId="4D0BAD48" w:rsidR="0028006E" w:rsidRPr="004A7EDD" w:rsidRDefault="008B323E" w:rsidP="0028006E">
            <w:pPr>
              <w:spacing w:before="60" w:after="60" w:line="280" w:lineRule="atLeast"/>
              <w:rPr>
                <w:sz w:val="18"/>
                <w:szCs w:val="18"/>
              </w:rPr>
            </w:pPr>
            <w:r>
              <w:rPr>
                <w:sz w:val="18"/>
                <w:szCs w:val="18"/>
              </w:rPr>
              <w:t>See action taken for comment 1 from submission B.</w:t>
            </w:r>
          </w:p>
        </w:tc>
      </w:tr>
      <w:tr w:rsidR="003F7FB9" w14:paraId="4A8DE993" w14:textId="77777777" w:rsidTr="008703DC">
        <w:tc>
          <w:tcPr>
            <w:tcW w:w="13745" w:type="dxa"/>
            <w:gridSpan w:val="3"/>
            <w:tcBorders>
              <w:top w:val="single" w:sz="4" w:space="0" w:color="auto"/>
              <w:left w:val="single" w:sz="4" w:space="0" w:color="auto"/>
              <w:bottom w:val="single" w:sz="4" w:space="0" w:color="auto"/>
              <w:right w:val="single" w:sz="4" w:space="0" w:color="auto"/>
            </w:tcBorders>
          </w:tcPr>
          <w:p w14:paraId="4149E2C8" w14:textId="4C6A5381" w:rsidR="003F7FB9" w:rsidRPr="004A7EDD" w:rsidRDefault="003F7FB9" w:rsidP="0028006E">
            <w:pPr>
              <w:spacing w:before="60" w:after="60" w:line="280" w:lineRule="atLeast"/>
              <w:rPr>
                <w:sz w:val="18"/>
                <w:szCs w:val="18"/>
              </w:rPr>
            </w:pPr>
            <w:r>
              <w:rPr>
                <w:b/>
                <w:sz w:val="18"/>
                <w:szCs w:val="18"/>
              </w:rPr>
              <w:t>Submission</w:t>
            </w:r>
            <w:r w:rsidRPr="006B7B8A">
              <w:rPr>
                <w:b/>
                <w:sz w:val="18"/>
                <w:szCs w:val="18"/>
              </w:rPr>
              <w:t xml:space="preserve"> </w:t>
            </w:r>
            <w:r>
              <w:rPr>
                <w:b/>
                <w:sz w:val="18"/>
                <w:szCs w:val="18"/>
              </w:rPr>
              <w:t>D</w:t>
            </w:r>
          </w:p>
        </w:tc>
      </w:tr>
      <w:tr w:rsidR="0028006E" w14:paraId="6AAC6CD2" w14:textId="77777777" w:rsidTr="004A7EDD">
        <w:tc>
          <w:tcPr>
            <w:tcW w:w="4673" w:type="dxa"/>
            <w:tcBorders>
              <w:top w:val="single" w:sz="4" w:space="0" w:color="auto"/>
              <w:left w:val="single" w:sz="4" w:space="0" w:color="auto"/>
              <w:bottom w:val="single" w:sz="4" w:space="0" w:color="auto"/>
              <w:right w:val="single" w:sz="4" w:space="0" w:color="auto"/>
            </w:tcBorders>
          </w:tcPr>
          <w:p w14:paraId="4D38ABFD" w14:textId="41B2A8E8" w:rsidR="0028006E" w:rsidRPr="008B323E" w:rsidRDefault="00E07622" w:rsidP="008B323E">
            <w:pPr>
              <w:pStyle w:val="ListParagraph"/>
              <w:numPr>
                <w:ilvl w:val="0"/>
                <w:numId w:val="24"/>
              </w:numPr>
              <w:spacing w:before="60" w:after="60"/>
              <w:rPr>
                <w:bCs/>
                <w:sz w:val="18"/>
                <w:szCs w:val="18"/>
                <w:lang w:val="en-GB"/>
              </w:rPr>
            </w:pPr>
            <w:r w:rsidRPr="008B323E">
              <w:rPr>
                <w:bCs/>
                <w:sz w:val="18"/>
                <w:szCs w:val="18"/>
                <w:lang w:val="en-GB"/>
              </w:rPr>
              <w:t xml:space="preserve">The use of a DOC correction is a sensible addition to the default guideline value given the known influence of DOC on the toxicity of dissolved copper. </w:t>
            </w:r>
          </w:p>
        </w:tc>
        <w:tc>
          <w:tcPr>
            <w:tcW w:w="5954" w:type="dxa"/>
            <w:tcBorders>
              <w:top w:val="single" w:sz="4" w:space="0" w:color="auto"/>
              <w:left w:val="single" w:sz="4" w:space="0" w:color="auto"/>
              <w:bottom w:val="single" w:sz="4" w:space="0" w:color="auto"/>
              <w:right w:val="single" w:sz="4" w:space="0" w:color="auto"/>
            </w:tcBorders>
          </w:tcPr>
          <w:p w14:paraId="122AF93B" w14:textId="27F3E0B8" w:rsidR="0028006E" w:rsidRPr="004A7EDD" w:rsidRDefault="002F6C32" w:rsidP="0028006E">
            <w:pPr>
              <w:spacing w:before="60" w:after="60" w:line="240" w:lineRule="auto"/>
              <w:rPr>
                <w:iCs/>
                <w:sz w:val="18"/>
                <w:szCs w:val="18"/>
              </w:rPr>
            </w:pPr>
            <w:r>
              <w:rPr>
                <w:iCs/>
                <w:sz w:val="18"/>
                <w:szCs w:val="18"/>
              </w:rPr>
              <w:t>Thank you for this comment</w:t>
            </w:r>
          </w:p>
        </w:tc>
        <w:tc>
          <w:tcPr>
            <w:tcW w:w="3118" w:type="dxa"/>
            <w:tcBorders>
              <w:top w:val="single" w:sz="4" w:space="0" w:color="auto"/>
              <w:left w:val="single" w:sz="4" w:space="0" w:color="auto"/>
              <w:bottom w:val="single" w:sz="4" w:space="0" w:color="auto"/>
              <w:right w:val="single" w:sz="4" w:space="0" w:color="auto"/>
            </w:tcBorders>
          </w:tcPr>
          <w:p w14:paraId="15A80AA1" w14:textId="6A30649D" w:rsidR="0028006E" w:rsidRPr="004A7EDD" w:rsidRDefault="00C94AA9" w:rsidP="0028006E">
            <w:pPr>
              <w:spacing w:before="60" w:after="60" w:line="280" w:lineRule="atLeast"/>
              <w:rPr>
                <w:sz w:val="18"/>
                <w:szCs w:val="18"/>
              </w:rPr>
            </w:pPr>
            <w:r>
              <w:rPr>
                <w:sz w:val="18"/>
                <w:szCs w:val="18"/>
              </w:rPr>
              <w:t xml:space="preserve">No action </w:t>
            </w:r>
            <w:r w:rsidR="008B323E">
              <w:rPr>
                <w:sz w:val="18"/>
                <w:szCs w:val="18"/>
              </w:rPr>
              <w:t>taken.</w:t>
            </w:r>
          </w:p>
        </w:tc>
      </w:tr>
      <w:tr w:rsidR="0028006E" w14:paraId="1E25826C" w14:textId="77777777" w:rsidTr="004A7EDD">
        <w:tc>
          <w:tcPr>
            <w:tcW w:w="4673" w:type="dxa"/>
            <w:tcBorders>
              <w:top w:val="single" w:sz="4" w:space="0" w:color="auto"/>
              <w:left w:val="single" w:sz="4" w:space="0" w:color="auto"/>
              <w:bottom w:val="single" w:sz="4" w:space="0" w:color="auto"/>
              <w:right w:val="single" w:sz="4" w:space="0" w:color="auto"/>
            </w:tcBorders>
          </w:tcPr>
          <w:p w14:paraId="1764BB65" w14:textId="62C28203" w:rsidR="0028006E" w:rsidRPr="008B323E" w:rsidRDefault="00E07622" w:rsidP="008B323E">
            <w:pPr>
              <w:pStyle w:val="ListParagraph"/>
              <w:numPr>
                <w:ilvl w:val="0"/>
                <w:numId w:val="24"/>
              </w:numPr>
              <w:spacing w:before="60" w:after="60"/>
              <w:rPr>
                <w:bCs/>
                <w:sz w:val="18"/>
                <w:szCs w:val="18"/>
                <w:lang w:val="en-GB"/>
              </w:rPr>
            </w:pPr>
            <w:r w:rsidRPr="008B323E">
              <w:rPr>
                <w:bCs/>
                <w:sz w:val="18"/>
                <w:szCs w:val="18"/>
                <w:lang w:val="en-GB"/>
              </w:rPr>
              <w:t xml:space="preserve">A table is provided …. that contains copper toxicity data for Australian marine organisms that may not have been considered in the derivation of the DGV. Some of the provided references report chronic toxicity data for copper as part of </w:t>
            </w:r>
            <w:r w:rsidRPr="008B323E">
              <w:rPr>
                <w:bCs/>
                <w:sz w:val="18"/>
                <w:szCs w:val="18"/>
                <w:lang w:val="en-GB"/>
              </w:rPr>
              <w:lastRenderedPageBreak/>
              <w:t xml:space="preserve">reference toxicity tests adjacent to studies on other contaminants. As such they may not have been identified if the search terms were specific to copper toxicity. </w:t>
            </w:r>
          </w:p>
          <w:p w14:paraId="54533B34" w14:textId="07C28E2E" w:rsidR="00E07622" w:rsidRPr="00E07622" w:rsidRDefault="00E07622" w:rsidP="008B323E">
            <w:pPr>
              <w:spacing w:before="60" w:after="60" w:line="240" w:lineRule="auto"/>
              <w:ind w:left="738"/>
              <w:rPr>
                <w:bCs/>
                <w:i/>
                <w:iCs/>
                <w:sz w:val="18"/>
                <w:szCs w:val="18"/>
                <w:lang w:val="en-GB"/>
              </w:rPr>
            </w:pPr>
            <w:r w:rsidRPr="00E07622">
              <w:rPr>
                <w:bCs/>
                <w:i/>
                <w:iCs/>
                <w:sz w:val="18"/>
                <w:szCs w:val="18"/>
                <w:lang w:val="en-GB"/>
              </w:rPr>
              <w:t xml:space="preserve">See Attachment A for </w:t>
            </w:r>
            <w:r>
              <w:rPr>
                <w:bCs/>
                <w:i/>
                <w:iCs/>
                <w:sz w:val="18"/>
                <w:szCs w:val="18"/>
                <w:lang w:val="en-GB"/>
              </w:rPr>
              <w:t>supporting information</w:t>
            </w:r>
            <w:r w:rsidR="007C1023">
              <w:rPr>
                <w:bCs/>
                <w:i/>
                <w:iCs/>
                <w:sz w:val="18"/>
                <w:szCs w:val="18"/>
                <w:lang w:val="en-GB"/>
              </w:rPr>
              <w:t xml:space="preserve"> provided with the submission</w:t>
            </w:r>
            <w:r w:rsidRPr="00E07622">
              <w:rPr>
                <w:bCs/>
                <w:i/>
                <w:iCs/>
                <w:sz w:val="18"/>
                <w:szCs w:val="18"/>
                <w:lang w:val="en-GB"/>
              </w:rPr>
              <w:t>.</w:t>
            </w:r>
          </w:p>
        </w:tc>
        <w:tc>
          <w:tcPr>
            <w:tcW w:w="5954" w:type="dxa"/>
            <w:tcBorders>
              <w:top w:val="single" w:sz="4" w:space="0" w:color="auto"/>
              <w:left w:val="single" w:sz="4" w:space="0" w:color="auto"/>
              <w:bottom w:val="single" w:sz="4" w:space="0" w:color="auto"/>
              <w:right w:val="single" w:sz="4" w:space="0" w:color="auto"/>
            </w:tcBorders>
          </w:tcPr>
          <w:p w14:paraId="181315FB" w14:textId="2F0FDF59" w:rsidR="0028006E" w:rsidRPr="004A7EDD" w:rsidRDefault="00A10387" w:rsidP="0028006E">
            <w:pPr>
              <w:spacing w:before="60" w:after="60" w:line="240" w:lineRule="auto"/>
              <w:rPr>
                <w:iCs/>
                <w:sz w:val="18"/>
                <w:szCs w:val="18"/>
              </w:rPr>
            </w:pPr>
            <w:r>
              <w:rPr>
                <w:sz w:val="18"/>
                <w:szCs w:val="18"/>
              </w:rPr>
              <w:lastRenderedPageBreak/>
              <w:t xml:space="preserve">Thank you for the provision of the additional data. </w:t>
            </w:r>
            <w:r w:rsidR="004C3FF0">
              <w:rPr>
                <w:sz w:val="18"/>
                <w:szCs w:val="18"/>
              </w:rPr>
              <w:t>Some of the data ha</w:t>
            </w:r>
            <w:r>
              <w:rPr>
                <w:sz w:val="18"/>
                <w:szCs w:val="18"/>
              </w:rPr>
              <w:t>ve</w:t>
            </w:r>
            <w:r w:rsidR="004C3FF0">
              <w:rPr>
                <w:sz w:val="18"/>
                <w:szCs w:val="18"/>
              </w:rPr>
              <w:t xml:space="preserve"> been added</w:t>
            </w:r>
            <w:r>
              <w:rPr>
                <w:sz w:val="18"/>
                <w:szCs w:val="18"/>
              </w:rPr>
              <w:t xml:space="preserve"> to the copper dataset</w:t>
            </w:r>
            <w:r w:rsidR="004C3FF0">
              <w:rPr>
                <w:sz w:val="18"/>
                <w:szCs w:val="18"/>
              </w:rPr>
              <w:t xml:space="preserve">. Some of the values were already included in the database but not included in the SSD as copper was not measured in the test solutions or DOC concentrations were above the threshold used in the derivation. In some cases the accepted names have changed from the reported </w:t>
            </w:r>
            <w:r w:rsidR="004C3FF0">
              <w:rPr>
                <w:sz w:val="18"/>
                <w:szCs w:val="18"/>
              </w:rPr>
              <w:lastRenderedPageBreak/>
              <w:t xml:space="preserve">names. In the case of </w:t>
            </w:r>
            <w:r w:rsidR="004C3FF0" w:rsidRPr="004C3FF0">
              <w:rPr>
                <w:rFonts w:asciiTheme="minorHAnsi" w:hAnsiTheme="minorHAnsi" w:cstheme="minorHAnsi"/>
                <w:i/>
                <w:iCs/>
                <w:spacing w:val="-2"/>
                <w:sz w:val="18"/>
                <w:szCs w:val="18"/>
              </w:rPr>
              <w:t xml:space="preserve">Acropora </w:t>
            </w:r>
            <w:proofErr w:type="spellStart"/>
            <w:r w:rsidR="004C3FF0" w:rsidRPr="004C3FF0">
              <w:rPr>
                <w:rFonts w:asciiTheme="minorHAnsi" w:hAnsiTheme="minorHAnsi" w:cstheme="minorHAnsi"/>
                <w:i/>
                <w:iCs/>
                <w:spacing w:val="-2"/>
                <w:sz w:val="18"/>
                <w:szCs w:val="18"/>
              </w:rPr>
              <w:t>longicyathus</w:t>
            </w:r>
            <w:proofErr w:type="spellEnd"/>
            <w:r w:rsidR="004C3FF0">
              <w:rPr>
                <w:sz w:val="18"/>
                <w:szCs w:val="18"/>
              </w:rPr>
              <w:t xml:space="preserve"> the data was erroneously flagged as nominal rather than measured, so this is now included in the derivation.</w:t>
            </w:r>
          </w:p>
        </w:tc>
        <w:tc>
          <w:tcPr>
            <w:tcW w:w="3118" w:type="dxa"/>
            <w:tcBorders>
              <w:top w:val="single" w:sz="4" w:space="0" w:color="auto"/>
              <w:left w:val="single" w:sz="4" w:space="0" w:color="auto"/>
              <w:bottom w:val="single" w:sz="4" w:space="0" w:color="auto"/>
              <w:right w:val="single" w:sz="4" w:space="0" w:color="auto"/>
            </w:tcBorders>
          </w:tcPr>
          <w:p w14:paraId="2F3EFABA" w14:textId="54933F2D" w:rsidR="0028006E" w:rsidRPr="004A7EDD" w:rsidRDefault="004C3FF0" w:rsidP="0028006E">
            <w:pPr>
              <w:spacing w:before="60" w:after="60" w:line="280" w:lineRule="atLeast"/>
              <w:rPr>
                <w:sz w:val="18"/>
                <w:szCs w:val="18"/>
              </w:rPr>
            </w:pPr>
            <w:r>
              <w:rPr>
                <w:sz w:val="18"/>
                <w:szCs w:val="18"/>
              </w:rPr>
              <w:lastRenderedPageBreak/>
              <w:t>New data from Gissi et al. (2017; 2018) and Stone et al. (2021) ha</w:t>
            </w:r>
            <w:r w:rsidR="008B323E">
              <w:rPr>
                <w:sz w:val="18"/>
                <w:szCs w:val="18"/>
              </w:rPr>
              <w:t>ve</w:t>
            </w:r>
            <w:r>
              <w:rPr>
                <w:sz w:val="18"/>
                <w:szCs w:val="18"/>
              </w:rPr>
              <w:t xml:space="preserve"> been </w:t>
            </w:r>
            <w:r>
              <w:rPr>
                <w:sz w:val="18"/>
                <w:szCs w:val="18"/>
              </w:rPr>
              <w:lastRenderedPageBreak/>
              <w:t>added</w:t>
            </w:r>
            <w:r w:rsidR="008B323E">
              <w:rPr>
                <w:sz w:val="18"/>
                <w:szCs w:val="18"/>
              </w:rPr>
              <w:t xml:space="preserve"> to </w:t>
            </w:r>
            <w:r w:rsidR="00A10387">
              <w:rPr>
                <w:sz w:val="18"/>
                <w:szCs w:val="18"/>
              </w:rPr>
              <w:t xml:space="preserve">the dataset and used in </w:t>
            </w:r>
            <w:r w:rsidR="008B323E">
              <w:rPr>
                <w:sz w:val="18"/>
                <w:szCs w:val="18"/>
              </w:rPr>
              <w:t>the derivation.</w:t>
            </w:r>
          </w:p>
        </w:tc>
      </w:tr>
      <w:tr w:rsidR="0028006E" w14:paraId="3F30F53F" w14:textId="77777777" w:rsidTr="004A7EDD">
        <w:tc>
          <w:tcPr>
            <w:tcW w:w="4673" w:type="dxa"/>
            <w:tcBorders>
              <w:top w:val="single" w:sz="4" w:space="0" w:color="auto"/>
              <w:left w:val="single" w:sz="4" w:space="0" w:color="auto"/>
              <w:bottom w:val="single" w:sz="4" w:space="0" w:color="auto"/>
              <w:right w:val="single" w:sz="4" w:space="0" w:color="auto"/>
            </w:tcBorders>
          </w:tcPr>
          <w:p w14:paraId="364D6A24" w14:textId="6E4053AE" w:rsidR="0028006E" w:rsidRPr="008B323E" w:rsidRDefault="00E07622" w:rsidP="008B323E">
            <w:pPr>
              <w:pStyle w:val="ListParagraph"/>
              <w:numPr>
                <w:ilvl w:val="0"/>
                <w:numId w:val="24"/>
              </w:numPr>
              <w:spacing w:before="60" w:after="60"/>
              <w:rPr>
                <w:bCs/>
                <w:sz w:val="18"/>
                <w:szCs w:val="18"/>
              </w:rPr>
            </w:pPr>
            <w:r w:rsidRPr="008B323E">
              <w:rPr>
                <w:bCs/>
                <w:sz w:val="18"/>
                <w:szCs w:val="18"/>
              </w:rPr>
              <w:lastRenderedPageBreak/>
              <w:t>It is unclear whether toxicity data was screened based on the habitat (tropical/temperate/polar) or a temperature range. Consideration could be given to the references given on page 4 that report copper toxicity to Antarctic species. This may be relevant to the Australian and New Zealand Antarctic territories and sub-Antarctic islands whose marine environments are managed by the Commonwealth and Tasmanian governments (for Australia), respectively. If these environments are not included in the DGV, this should be stated in the technical brief.</w:t>
            </w:r>
          </w:p>
        </w:tc>
        <w:tc>
          <w:tcPr>
            <w:tcW w:w="5954" w:type="dxa"/>
            <w:tcBorders>
              <w:top w:val="single" w:sz="4" w:space="0" w:color="auto"/>
              <w:left w:val="single" w:sz="4" w:space="0" w:color="auto"/>
              <w:bottom w:val="single" w:sz="4" w:space="0" w:color="auto"/>
              <w:right w:val="single" w:sz="4" w:space="0" w:color="auto"/>
            </w:tcBorders>
          </w:tcPr>
          <w:p w14:paraId="52EDC470" w14:textId="715C682A" w:rsidR="0028006E" w:rsidRPr="004A7EDD" w:rsidRDefault="00A10387" w:rsidP="0028006E">
            <w:pPr>
              <w:spacing w:before="60" w:after="60" w:line="240" w:lineRule="auto"/>
              <w:rPr>
                <w:iCs/>
                <w:sz w:val="18"/>
                <w:szCs w:val="18"/>
              </w:rPr>
            </w:pPr>
            <w:r>
              <w:rPr>
                <w:iCs/>
                <w:sz w:val="18"/>
                <w:szCs w:val="18"/>
              </w:rPr>
              <w:t xml:space="preserve">Noted. </w:t>
            </w:r>
          </w:p>
        </w:tc>
        <w:tc>
          <w:tcPr>
            <w:tcW w:w="3118" w:type="dxa"/>
            <w:tcBorders>
              <w:top w:val="single" w:sz="4" w:space="0" w:color="auto"/>
              <w:left w:val="single" w:sz="4" w:space="0" w:color="auto"/>
              <w:bottom w:val="single" w:sz="4" w:space="0" w:color="auto"/>
              <w:right w:val="single" w:sz="4" w:space="0" w:color="auto"/>
            </w:tcBorders>
          </w:tcPr>
          <w:p w14:paraId="0695E2F8" w14:textId="769642E8" w:rsidR="0028006E" w:rsidRPr="004A7EDD" w:rsidRDefault="00A10387" w:rsidP="0028006E">
            <w:pPr>
              <w:spacing w:before="60" w:after="60" w:line="280" w:lineRule="atLeast"/>
              <w:rPr>
                <w:sz w:val="18"/>
                <w:szCs w:val="18"/>
              </w:rPr>
            </w:pPr>
            <w:r>
              <w:rPr>
                <w:sz w:val="18"/>
                <w:szCs w:val="18"/>
              </w:rPr>
              <w:t>A s</w:t>
            </w:r>
            <w:r w:rsidR="008922F4">
              <w:rPr>
                <w:sz w:val="18"/>
                <w:szCs w:val="18"/>
              </w:rPr>
              <w:t xml:space="preserve">entence added to </w:t>
            </w:r>
            <w:r>
              <w:rPr>
                <w:sz w:val="18"/>
                <w:szCs w:val="18"/>
              </w:rPr>
              <w:t>Section 4.4.</w:t>
            </w:r>
          </w:p>
        </w:tc>
      </w:tr>
    </w:tbl>
    <w:p w14:paraId="283573F7" w14:textId="77777777" w:rsidR="004A7EDD" w:rsidRPr="004A7EDD" w:rsidRDefault="004A7EDD" w:rsidP="004A7EDD">
      <w:pPr>
        <w:spacing w:before="0" w:after="0" w:line="240" w:lineRule="auto"/>
        <w:rPr>
          <w:sz w:val="24"/>
          <w:szCs w:val="24"/>
        </w:rPr>
      </w:pPr>
    </w:p>
    <w:p w14:paraId="283573F8" w14:textId="5E128593" w:rsidR="004A7EDD" w:rsidRPr="0025059D" w:rsidRDefault="00906333" w:rsidP="00D20895">
      <w:pPr>
        <w:pStyle w:val="Heading3"/>
        <w:rPr>
          <w:rFonts w:asciiTheme="minorHAnsi" w:hAnsiTheme="minorHAnsi" w:cstheme="minorHAnsi"/>
          <w:sz w:val="20"/>
          <w:szCs w:val="20"/>
        </w:rPr>
      </w:pPr>
      <w:r w:rsidRPr="0025059D">
        <w:rPr>
          <w:rFonts w:asciiTheme="minorHAnsi" w:hAnsiTheme="minorHAnsi" w:cstheme="minorHAnsi"/>
          <w:sz w:val="20"/>
          <w:szCs w:val="20"/>
        </w:rPr>
        <w:t>References</w:t>
      </w:r>
    </w:p>
    <w:p w14:paraId="28357402" w14:textId="6765184F" w:rsidR="004A7EDD" w:rsidRPr="0025059D" w:rsidRDefault="00417B89" w:rsidP="004A7EDD">
      <w:pPr>
        <w:spacing w:before="0" w:after="0" w:line="240" w:lineRule="auto"/>
        <w:rPr>
          <w:rFonts w:asciiTheme="minorHAnsi" w:hAnsiTheme="minorHAnsi" w:cstheme="minorHAnsi"/>
          <w:sz w:val="20"/>
          <w:szCs w:val="20"/>
          <w:lang w:val="en-GB"/>
        </w:rPr>
      </w:pPr>
      <w:r w:rsidRPr="0025059D">
        <w:rPr>
          <w:rFonts w:asciiTheme="minorHAnsi" w:eastAsiaTheme="minorHAnsi" w:hAnsiTheme="minorHAnsi" w:cstheme="minorHAnsi"/>
          <w:sz w:val="20"/>
          <w:szCs w:val="20"/>
          <w:lang w:val="en-NZ"/>
        </w:rPr>
        <w:t xml:space="preserve">Bar-On YM </w:t>
      </w:r>
      <w:r w:rsidR="00DF5CF3">
        <w:rPr>
          <w:rFonts w:asciiTheme="minorHAnsi" w:eastAsiaTheme="minorHAnsi" w:hAnsiTheme="minorHAnsi" w:cstheme="minorHAnsi"/>
          <w:sz w:val="20"/>
          <w:szCs w:val="20"/>
          <w:lang w:val="en-NZ"/>
        </w:rPr>
        <w:t>&amp;</w:t>
      </w:r>
      <w:r w:rsidRPr="0025059D">
        <w:rPr>
          <w:rFonts w:asciiTheme="minorHAnsi" w:eastAsiaTheme="minorHAnsi" w:hAnsiTheme="minorHAnsi" w:cstheme="minorHAnsi"/>
          <w:sz w:val="20"/>
          <w:szCs w:val="20"/>
          <w:lang w:val="en-NZ"/>
        </w:rPr>
        <w:t xml:space="preserve"> Milo </w:t>
      </w:r>
      <w:r w:rsidR="00DF5CF3">
        <w:rPr>
          <w:rFonts w:asciiTheme="minorHAnsi" w:eastAsiaTheme="minorHAnsi" w:hAnsiTheme="minorHAnsi" w:cstheme="minorHAnsi"/>
          <w:sz w:val="20"/>
          <w:szCs w:val="20"/>
          <w:lang w:val="en-NZ"/>
        </w:rPr>
        <w:t xml:space="preserve">R </w:t>
      </w:r>
      <w:r w:rsidRPr="0025059D">
        <w:rPr>
          <w:rFonts w:asciiTheme="minorHAnsi" w:eastAsiaTheme="minorHAnsi" w:hAnsiTheme="minorHAnsi" w:cstheme="minorHAnsi"/>
          <w:sz w:val="20"/>
          <w:szCs w:val="20"/>
          <w:lang w:val="en-NZ"/>
        </w:rPr>
        <w:t xml:space="preserve">2019. The Biomass Composition of the Oceans: A Blueprint of Our Blue Planet. </w:t>
      </w:r>
      <w:r w:rsidRPr="0025059D">
        <w:rPr>
          <w:rFonts w:asciiTheme="minorHAnsi" w:eastAsiaTheme="minorHAnsi" w:hAnsiTheme="minorHAnsi" w:cstheme="minorHAnsi"/>
          <w:i/>
          <w:iCs/>
          <w:sz w:val="20"/>
          <w:szCs w:val="20"/>
          <w:lang w:val="en-NZ"/>
        </w:rPr>
        <w:t>Cell</w:t>
      </w:r>
      <w:r w:rsidRPr="0025059D">
        <w:rPr>
          <w:rFonts w:asciiTheme="minorHAnsi" w:eastAsiaTheme="minorHAnsi" w:hAnsiTheme="minorHAnsi" w:cstheme="minorHAnsi"/>
          <w:sz w:val="20"/>
          <w:szCs w:val="20"/>
          <w:lang w:val="en-NZ"/>
        </w:rPr>
        <w:t xml:space="preserve"> 179(7): 1451-1454.</w:t>
      </w:r>
    </w:p>
    <w:p w14:paraId="7C9238B8" w14:textId="1E66916A" w:rsidR="005917AD" w:rsidRPr="000420E1" w:rsidRDefault="002F3179" w:rsidP="00CC32EE">
      <w:pPr>
        <w:rPr>
          <w:sz w:val="20"/>
          <w:szCs w:val="20"/>
          <w:lang w:val="en-NZ"/>
        </w:rPr>
      </w:pPr>
      <w:r w:rsidRPr="000420E1">
        <w:rPr>
          <w:sz w:val="20"/>
          <w:szCs w:val="20"/>
          <w:lang w:val="en-NZ"/>
        </w:rPr>
        <w:t>Gordon D P, Beaumont</w:t>
      </w:r>
      <w:r w:rsidR="00DF5CF3" w:rsidRPr="000420E1">
        <w:rPr>
          <w:sz w:val="20"/>
          <w:szCs w:val="20"/>
          <w:lang w:val="en-NZ"/>
        </w:rPr>
        <w:t xml:space="preserve"> J</w:t>
      </w:r>
      <w:r w:rsidRPr="000420E1">
        <w:rPr>
          <w:sz w:val="20"/>
          <w:szCs w:val="20"/>
          <w:lang w:val="en-NZ"/>
        </w:rPr>
        <w:t>, MacDiarmid</w:t>
      </w:r>
      <w:r w:rsidR="00DF5CF3" w:rsidRPr="000420E1">
        <w:rPr>
          <w:sz w:val="20"/>
          <w:szCs w:val="20"/>
          <w:lang w:val="en-NZ"/>
        </w:rPr>
        <w:t xml:space="preserve"> A</w:t>
      </w:r>
      <w:r w:rsidRPr="000420E1">
        <w:rPr>
          <w:sz w:val="20"/>
          <w:szCs w:val="20"/>
          <w:lang w:val="en-NZ"/>
        </w:rPr>
        <w:t xml:space="preserve">, Robertson </w:t>
      </w:r>
      <w:r w:rsidR="00DF5CF3" w:rsidRPr="000420E1">
        <w:rPr>
          <w:sz w:val="20"/>
          <w:szCs w:val="20"/>
          <w:lang w:val="en-NZ"/>
        </w:rPr>
        <w:t>DA &amp;</w:t>
      </w:r>
      <w:r w:rsidRPr="000420E1">
        <w:rPr>
          <w:sz w:val="20"/>
          <w:szCs w:val="20"/>
          <w:lang w:val="en-NZ"/>
        </w:rPr>
        <w:t xml:space="preserve"> </w:t>
      </w:r>
      <w:proofErr w:type="spellStart"/>
      <w:r w:rsidRPr="000420E1">
        <w:rPr>
          <w:sz w:val="20"/>
          <w:szCs w:val="20"/>
          <w:lang w:val="en-NZ"/>
        </w:rPr>
        <w:t>Ahyong</w:t>
      </w:r>
      <w:proofErr w:type="spellEnd"/>
      <w:r w:rsidRPr="000420E1">
        <w:rPr>
          <w:sz w:val="20"/>
          <w:szCs w:val="20"/>
          <w:lang w:val="en-NZ"/>
        </w:rPr>
        <w:t xml:space="preserve"> </w:t>
      </w:r>
      <w:r w:rsidR="00DF5CF3" w:rsidRPr="000420E1">
        <w:rPr>
          <w:sz w:val="20"/>
          <w:szCs w:val="20"/>
          <w:lang w:val="en-NZ"/>
        </w:rPr>
        <w:t xml:space="preserve">ST </w:t>
      </w:r>
      <w:r w:rsidRPr="000420E1">
        <w:rPr>
          <w:sz w:val="20"/>
          <w:szCs w:val="20"/>
          <w:lang w:val="en-NZ"/>
        </w:rPr>
        <w:t xml:space="preserve">2010. Marine Biodiversity of Aotearoa New Zealand. </w:t>
      </w:r>
      <w:r w:rsidRPr="000420E1">
        <w:rPr>
          <w:i/>
          <w:iCs/>
          <w:sz w:val="20"/>
          <w:szCs w:val="20"/>
          <w:lang w:val="en-NZ"/>
        </w:rPr>
        <w:t>PLOS ONE</w:t>
      </w:r>
      <w:r w:rsidRPr="000420E1">
        <w:rPr>
          <w:sz w:val="20"/>
          <w:szCs w:val="20"/>
          <w:lang w:val="en-NZ"/>
        </w:rPr>
        <w:t xml:space="preserve"> 5(8): e10905.</w:t>
      </w:r>
    </w:p>
    <w:sectPr w:rsidR="005917AD" w:rsidRPr="000420E1" w:rsidSect="00172CC7">
      <w:headerReference w:type="even" r:id="rId23"/>
      <w:headerReference w:type="default" r:id="rId24"/>
      <w:headerReference w:type="first" r:id="rId25"/>
      <w:footerReference w:type="first" r:id="rId2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C497" w14:textId="77777777" w:rsidR="00CF43F4" w:rsidRDefault="00CF43F4">
      <w:pPr>
        <w:spacing w:before="0" w:after="0" w:line="240" w:lineRule="auto"/>
      </w:pPr>
      <w:r>
        <w:separator/>
      </w:r>
    </w:p>
  </w:endnote>
  <w:endnote w:type="continuationSeparator" w:id="0">
    <w:p w14:paraId="033C4171" w14:textId="77777777" w:rsidR="00CF43F4" w:rsidRDefault="00CF43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143F" w14:textId="1E4E0E6D" w:rsidR="00542EE9" w:rsidRDefault="00542EE9">
    <w:pPr>
      <w:pStyle w:val="Footer"/>
    </w:pPr>
    <w:r>
      <w:rPr>
        <w:noProof/>
      </w:rPr>
      <mc:AlternateContent>
        <mc:Choice Requires="wps">
          <w:drawing>
            <wp:anchor distT="0" distB="0" distL="0" distR="0" simplePos="0" relativeHeight="251658255" behindDoc="0" locked="0" layoutInCell="1" allowOverlap="1" wp14:anchorId="338C35ED" wp14:editId="2D568765">
              <wp:simplePos x="635" y="635"/>
              <wp:positionH relativeFrom="page">
                <wp:align>center</wp:align>
              </wp:positionH>
              <wp:positionV relativeFrom="page">
                <wp:align>bottom</wp:align>
              </wp:positionV>
              <wp:extent cx="551815" cy="480695"/>
              <wp:effectExtent l="0" t="0" r="635" b="0"/>
              <wp:wrapNone/>
              <wp:docPr id="86124783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EC53CD1" w14:textId="2FBAE9C1" w:rsidR="00542EE9" w:rsidRPr="00542EE9" w:rsidRDefault="00542EE9" w:rsidP="00542EE9">
                          <w:pPr>
                            <w:spacing w:after="0"/>
                            <w:rPr>
                              <w:rFonts w:cs="Calibri"/>
                              <w:noProof/>
                              <w:color w:val="FF0000"/>
                              <w:sz w:val="24"/>
                              <w:szCs w:val="24"/>
                            </w:rPr>
                          </w:pPr>
                          <w:r w:rsidRPr="00542EE9">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8C35ED" id="_x0000_t202" coordsize="21600,21600" o:spt="202" path="m,l,21600r21600,l21600,xe">
              <v:stroke joinstyle="miter"/>
              <v:path gradientshapeok="t" o:connecttype="rect"/>
            </v:shapetype>
            <v:shape id="Text Box 8" o:spid="_x0000_s1028" type="#_x0000_t202" alt="OFFICIAL" style="position:absolute;margin-left:0;margin-top:0;width:43.45pt;height:37.8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3EC53CD1" w14:textId="2FBAE9C1" w:rsidR="00542EE9" w:rsidRPr="00542EE9" w:rsidRDefault="00542EE9" w:rsidP="00542EE9">
                    <w:pPr>
                      <w:spacing w:after="0"/>
                      <w:rPr>
                        <w:rFonts w:cs="Calibri"/>
                        <w:noProof/>
                        <w:color w:val="FF0000"/>
                        <w:sz w:val="24"/>
                        <w:szCs w:val="24"/>
                      </w:rPr>
                    </w:pPr>
                    <w:r w:rsidRPr="00542EE9">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7CF9" w14:textId="7DDF5991" w:rsidR="00542EE9" w:rsidRDefault="00542EE9" w:rsidP="00FB3DCB">
    <w:pPr>
      <w:pStyle w:val="Footer"/>
      <w:jc w:val="right"/>
    </w:pPr>
  </w:p>
  <w:sdt>
    <w:sdtPr>
      <w:id w:val="1653562080"/>
      <w:docPartObj>
        <w:docPartGallery w:val="Page Numbers (Bottom of Page)"/>
        <w:docPartUnique/>
      </w:docPartObj>
    </w:sdtPr>
    <w:sdtEndPr/>
    <w:sdtContent>
      <w:sdt>
        <w:sdtPr>
          <w:id w:val="-1784957734"/>
          <w:docPartObj>
            <w:docPartGallery w:val="Page Numbers (Top of Page)"/>
            <w:docPartUnique/>
          </w:docPartObj>
        </w:sdtPr>
        <w:sdtEndPr/>
        <w:sdtContent>
          <w:p w14:paraId="28357407" w14:textId="77777777" w:rsidR="00FB3DCB" w:rsidRDefault="00FB3DCB" w:rsidP="00FB3DCB">
            <w:pPr>
              <w:pStyle w:val="Footer"/>
              <w:jc w:val="right"/>
            </w:pPr>
          </w:p>
          <w:p w14:paraId="28357408" w14:textId="35FF0828" w:rsidR="00FB3DCB" w:rsidRDefault="00906333" w:rsidP="00B745B2">
            <w:pPr>
              <w:pStyle w:val="Footer"/>
              <w:jc w:val="both"/>
            </w:pPr>
            <w:r>
              <w:t xml:space="preserve">Response to public submissions on draft default guidelines for </w:t>
            </w:r>
            <w:r w:rsidR="002202D1">
              <w:rPr>
                <w:rFonts w:asciiTheme="minorHAnsi" w:hAnsiTheme="minorHAnsi" w:cstheme="minorHAnsi"/>
              </w:rPr>
              <w:t>copper in marine water</w:t>
            </w:r>
            <w:r w:rsidRPr="004E6A7F">
              <w:tab/>
              <w:t xml:space="preserve">                                                                       </w:t>
            </w:r>
            <w:r w:rsidR="00B745B2" w:rsidRPr="004E6A7F">
              <w:t xml:space="preserve">                  </w:t>
            </w:r>
            <w:r w:rsidRPr="004E6A7F">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p w14:paraId="28357409" w14:textId="77777777" w:rsidR="00FB3DCB" w:rsidRDefault="00FB3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740B" w14:textId="54D1F45C" w:rsidR="005B6710" w:rsidRDefault="00B31B88">
    <w:pPr>
      <w:pStyle w:val="Footer"/>
      <w:jc w:val="right"/>
    </w:pPr>
    <w:sdt>
      <w:sdtPr>
        <w:id w:val="1782456477"/>
        <w:docPartObj>
          <w:docPartGallery w:val="Page Numbers (Bottom of Page)"/>
          <w:docPartUnique/>
        </w:docPartObj>
      </w:sdtPr>
      <w:sdtEndPr/>
      <w:sdtContent>
        <w:sdt>
          <w:sdtPr>
            <w:id w:val="1089893921"/>
            <w:docPartObj>
              <w:docPartGallery w:val="Page Numbers (Top of Page)"/>
              <w:docPartUnique/>
            </w:docPartObj>
          </w:sdtPr>
          <w:sdtEndPr/>
          <w:sdtContent>
            <w:r w:rsidR="00906333">
              <w:t xml:space="preserve">Page </w:t>
            </w:r>
            <w:r w:rsidR="00906333">
              <w:rPr>
                <w:b/>
                <w:bCs/>
                <w:sz w:val="24"/>
                <w:szCs w:val="24"/>
              </w:rPr>
              <w:fldChar w:fldCharType="begin"/>
            </w:r>
            <w:r w:rsidR="00906333">
              <w:rPr>
                <w:b/>
                <w:bCs/>
              </w:rPr>
              <w:instrText xml:space="preserve"> PAGE </w:instrText>
            </w:r>
            <w:r w:rsidR="00906333">
              <w:rPr>
                <w:b/>
                <w:bCs/>
                <w:sz w:val="24"/>
                <w:szCs w:val="24"/>
              </w:rPr>
              <w:fldChar w:fldCharType="separate"/>
            </w:r>
            <w:r w:rsidR="00906333">
              <w:rPr>
                <w:b/>
                <w:bCs/>
              </w:rPr>
              <w:t>1</w:t>
            </w:r>
            <w:r w:rsidR="00906333">
              <w:rPr>
                <w:b/>
                <w:bCs/>
                <w:sz w:val="24"/>
                <w:szCs w:val="24"/>
              </w:rPr>
              <w:fldChar w:fldCharType="end"/>
            </w:r>
            <w:r w:rsidR="00906333">
              <w:t xml:space="preserve"> of </w:t>
            </w:r>
            <w:r w:rsidR="00906333">
              <w:rPr>
                <w:b/>
                <w:bCs/>
                <w:sz w:val="24"/>
                <w:szCs w:val="24"/>
              </w:rPr>
              <w:fldChar w:fldCharType="begin"/>
            </w:r>
            <w:r w:rsidR="00906333">
              <w:rPr>
                <w:b/>
                <w:bCs/>
              </w:rPr>
              <w:instrText xml:space="preserve"> NUMPAGES  </w:instrText>
            </w:r>
            <w:r w:rsidR="00906333">
              <w:rPr>
                <w:b/>
                <w:bCs/>
                <w:sz w:val="24"/>
                <w:szCs w:val="24"/>
              </w:rPr>
              <w:fldChar w:fldCharType="separate"/>
            </w:r>
            <w:r w:rsidR="00906333">
              <w:rPr>
                <w:b/>
                <w:bCs/>
              </w:rPr>
              <w:t>10</w:t>
            </w:r>
            <w:r w:rsidR="00906333">
              <w:rPr>
                <w:b/>
                <w:bCs/>
                <w:sz w:val="24"/>
                <w:szCs w:val="24"/>
              </w:rPr>
              <w:fldChar w:fldCharType="end"/>
            </w:r>
          </w:sdtContent>
        </w:sdt>
      </w:sdtContent>
    </w:sdt>
  </w:p>
  <w:p w14:paraId="2835740C" w14:textId="77777777" w:rsidR="005B6710" w:rsidRDefault="005B67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F2D3" w14:textId="4D006584" w:rsidR="00542EE9" w:rsidRDefault="00542EE9">
    <w:pPr>
      <w:pStyle w:val="Footer"/>
      <w:jc w:val="right"/>
    </w:pPr>
  </w:p>
  <w:sdt>
    <w:sdtPr>
      <w:id w:val="1435940881"/>
      <w:docPartObj>
        <w:docPartGallery w:val="Page Numbers (Bottom of Page)"/>
        <w:docPartUnique/>
      </w:docPartObj>
    </w:sdtPr>
    <w:sdtEndPr/>
    <w:sdtContent>
      <w:sdt>
        <w:sdtPr>
          <w:id w:val="-1769616900"/>
          <w:docPartObj>
            <w:docPartGallery w:val="Page Numbers (Top of Page)"/>
            <w:docPartUnique/>
          </w:docPartObj>
        </w:sdtPr>
        <w:sdtEndPr/>
        <w:sdtContent>
          <w:p w14:paraId="2835740E" w14:textId="77777777" w:rsidR="00B2382D" w:rsidRDefault="00B2382D">
            <w:pPr>
              <w:pStyle w:val="Footer"/>
              <w:jc w:val="right"/>
            </w:pPr>
          </w:p>
          <w:p w14:paraId="2835740F" w14:textId="3FF665BA" w:rsidR="00B2382D" w:rsidRDefault="00906333" w:rsidP="00B2382D">
            <w:pPr>
              <w:pStyle w:val="Header"/>
            </w:pPr>
            <w:r>
              <w:t xml:space="preserve">Response to public submissions on draft default guideline values for </w:t>
            </w:r>
            <w:r w:rsidR="0025059D">
              <w:rPr>
                <w:rFonts w:asciiTheme="minorHAnsi" w:hAnsiTheme="minorHAnsi" w:cstheme="minorHAnsi"/>
              </w:rPr>
              <w:t>copper</w:t>
            </w:r>
            <w:r w:rsidR="004E6A7F" w:rsidRPr="004E6A7F">
              <w:rPr>
                <w:rFonts w:asciiTheme="minorHAnsi" w:hAnsiTheme="minorHAnsi" w:cstheme="minorHAnsi"/>
              </w:rPr>
              <w:t xml:space="preserve"> in </w:t>
            </w:r>
            <w:r w:rsidR="00377EF6">
              <w:rPr>
                <w:rFonts w:asciiTheme="minorHAnsi" w:hAnsiTheme="minorHAnsi" w:cstheme="minorHAnsi"/>
              </w:rPr>
              <w:t xml:space="preserve">marine </w:t>
            </w:r>
            <w:r w:rsidR="00377EF6" w:rsidRPr="004E6A7F">
              <w:rPr>
                <w:rFonts w:asciiTheme="minorHAnsi" w:hAnsiTheme="minorHAnsi" w:cstheme="minorHAnsi"/>
              </w:rPr>
              <w:t>water</w:t>
            </w:r>
            <w:r>
              <w:tab/>
            </w:r>
            <w:r>
              <w:tab/>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B0EA0" w14:textId="77777777" w:rsidR="00CF43F4" w:rsidRDefault="00CF43F4">
      <w:pPr>
        <w:spacing w:before="0" w:after="0" w:line="240" w:lineRule="auto"/>
      </w:pPr>
      <w:r>
        <w:separator/>
      </w:r>
    </w:p>
  </w:footnote>
  <w:footnote w:type="continuationSeparator" w:id="0">
    <w:p w14:paraId="35E9E523" w14:textId="77777777" w:rsidR="00CF43F4" w:rsidRDefault="00CF43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01AC" w14:textId="5F163EBA" w:rsidR="00377EF6" w:rsidRDefault="00542EE9">
    <w:pPr>
      <w:pStyle w:val="Header"/>
    </w:pPr>
    <w:r>
      <w:rPr>
        <w:noProof/>
      </w:rPr>
      <mc:AlternateContent>
        <mc:Choice Requires="wps">
          <w:drawing>
            <wp:anchor distT="0" distB="0" distL="0" distR="0" simplePos="0" relativeHeight="251658247" behindDoc="0" locked="0" layoutInCell="1" allowOverlap="1" wp14:anchorId="61A0F6C4" wp14:editId="516BF965">
              <wp:simplePos x="635" y="635"/>
              <wp:positionH relativeFrom="page">
                <wp:align>center</wp:align>
              </wp:positionH>
              <wp:positionV relativeFrom="page">
                <wp:align>top</wp:align>
              </wp:positionV>
              <wp:extent cx="551815" cy="480695"/>
              <wp:effectExtent l="0" t="0" r="635" b="14605"/>
              <wp:wrapNone/>
              <wp:docPr id="5391242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359A9FC" w14:textId="11DB0503" w:rsidR="00542EE9" w:rsidRPr="00542EE9" w:rsidRDefault="00542EE9" w:rsidP="00542EE9">
                          <w:pPr>
                            <w:spacing w:after="0"/>
                            <w:rPr>
                              <w:rFonts w:cs="Calibri"/>
                              <w:noProof/>
                              <w:color w:val="FF0000"/>
                              <w:sz w:val="24"/>
                              <w:szCs w:val="24"/>
                            </w:rPr>
                          </w:pPr>
                          <w:r w:rsidRPr="00542EE9">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0F6C4"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3359A9FC" w14:textId="11DB0503" w:rsidR="00542EE9" w:rsidRPr="00542EE9" w:rsidRDefault="00542EE9" w:rsidP="00542EE9">
                    <w:pPr>
                      <w:spacing w:after="0"/>
                      <w:rPr>
                        <w:rFonts w:cs="Calibri"/>
                        <w:noProof/>
                        <w:color w:val="FF0000"/>
                        <w:sz w:val="24"/>
                        <w:szCs w:val="24"/>
                      </w:rPr>
                    </w:pPr>
                    <w:r w:rsidRPr="00542EE9">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A733" w14:textId="73715EF4" w:rsidR="00377EF6" w:rsidRDefault="00542EE9">
    <w:pPr>
      <w:pStyle w:val="Header"/>
    </w:pPr>
    <w:r>
      <w:rPr>
        <w:noProof/>
      </w:rPr>
      <mc:AlternateContent>
        <mc:Choice Requires="wps">
          <w:drawing>
            <wp:anchor distT="0" distB="0" distL="0" distR="0" simplePos="0" relativeHeight="251658248" behindDoc="0" locked="0" layoutInCell="1" allowOverlap="1" wp14:anchorId="49538BDC" wp14:editId="6691D00D">
              <wp:simplePos x="635" y="635"/>
              <wp:positionH relativeFrom="page">
                <wp:align>center</wp:align>
              </wp:positionH>
              <wp:positionV relativeFrom="page">
                <wp:align>top</wp:align>
              </wp:positionV>
              <wp:extent cx="551815" cy="480695"/>
              <wp:effectExtent l="0" t="0" r="635" b="14605"/>
              <wp:wrapNone/>
              <wp:docPr id="205635308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E9F0FF1" w14:textId="57335CD4" w:rsidR="00542EE9" w:rsidRPr="00542EE9" w:rsidRDefault="00542EE9" w:rsidP="00542EE9">
                          <w:pPr>
                            <w:spacing w:after="0"/>
                            <w:rPr>
                              <w:rFonts w:cs="Calibri"/>
                              <w:noProof/>
                              <w:color w:val="FF0000"/>
                              <w:sz w:val="24"/>
                              <w:szCs w:val="24"/>
                            </w:rPr>
                          </w:pPr>
                          <w:r w:rsidRPr="00542EE9">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538BDC"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1E9F0FF1" w14:textId="57335CD4" w:rsidR="00542EE9" w:rsidRPr="00542EE9" w:rsidRDefault="00542EE9" w:rsidP="00542EE9">
                    <w:pPr>
                      <w:spacing w:after="0"/>
                      <w:rPr>
                        <w:rFonts w:cs="Calibri"/>
                        <w:noProof/>
                        <w:color w:val="FF0000"/>
                        <w:sz w:val="24"/>
                        <w:szCs w:val="24"/>
                      </w:rPr>
                    </w:pPr>
                    <w:r w:rsidRPr="00542EE9">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740A" w14:textId="4A6D5302" w:rsidR="00AD184E" w:rsidRDefault="00906333">
    <w:pPr>
      <w:pStyle w:val="Header"/>
    </w:pPr>
    <w:r>
      <w:rPr>
        <w:noProof/>
      </w:rPr>
      <w:drawing>
        <wp:anchor distT="0" distB="0" distL="114300" distR="114300" simplePos="0" relativeHeight="251658240" behindDoc="1" locked="0" layoutInCell="1" allowOverlap="1" wp14:anchorId="28357410" wp14:editId="59365D47">
          <wp:simplePos x="0" y="0"/>
          <wp:positionH relativeFrom="margin">
            <wp:align>right</wp:align>
          </wp:positionH>
          <wp:positionV relativeFrom="paragraph">
            <wp:posOffset>-136737</wp:posOffset>
          </wp:positionV>
          <wp:extent cx="2184400" cy="1092200"/>
          <wp:effectExtent l="0" t="0" r="6350" b="0"/>
          <wp:wrapTight wrapText="bothSides">
            <wp:wrapPolygon edited="0">
              <wp:start x="5463" y="2260"/>
              <wp:lineTo x="3202" y="3014"/>
              <wp:lineTo x="377" y="6405"/>
              <wp:lineTo x="377" y="10926"/>
              <wp:lineTo x="942" y="15070"/>
              <wp:lineTo x="4333" y="18837"/>
              <wp:lineTo x="5463" y="18837"/>
              <wp:lineTo x="8477" y="18084"/>
              <wp:lineTo x="20909" y="15823"/>
              <wp:lineTo x="21474" y="5274"/>
              <wp:lineTo x="20344" y="4898"/>
              <wp:lineTo x="7347" y="2260"/>
              <wp:lineTo x="5463" y="226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84400" cy="1092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8591" w14:textId="4BB2FF5C" w:rsidR="00377EF6" w:rsidRDefault="00542EE9">
    <w:pPr>
      <w:pStyle w:val="Header"/>
    </w:pPr>
    <w:r>
      <w:rPr>
        <w:noProof/>
      </w:rPr>
      <mc:AlternateContent>
        <mc:Choice Requires="wps">
          <w:drawing>
            <wp:anchor distT="0" distB="0" distL="0" distR="0" simplePos="0" relativeHeight="251658250" behindDoc="0" locked="0" layoutInCell="1" allowOverlap="1" wp14:anchorId="7547BB19" wp14:editId="783F588B">
              <wp:simplePos x="635" y="635"/>
              <wp:positionH relativeFrom="page">
                <wp:align>center</wp:align>
              </wp:positionH>
              <wp:positionV relativeFrom="page">
                <wp:align>top</wp:align>
              </wp:positionV>
              <wp:extent cx="551815" cy="480695"/>
              <wp:effectExtent l="0" t="0" r="635" b="14605"/>
              <wp:wrapNone/>
              <wp:docPr id="14278802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1382B68" w14:textId="32E5E928" w:rsidR="00542EE9" w:rsidRPr="00542EE9" w:rsidRDefault="00542EE9" w:rsidP="00542EE9">
                          <w:pPr>
                            <w:spacing w:after="0"/>
                            <w:rPr>
                              <w:rFonts w:cs="Calibri"/>
                              <w:noProof/>
                              <w:color w:val="FF0000"/>
                              <w:sz w:val="24"/>
                              <w:szCs w:val="24"/>
                            </w:rPr>
                          </w:pPr>
                          <w:r w:rsidRPr="00542EE9">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47BB19" id="_x0000_t202" coordsize="21600,21600" o:spt="202" path="m,l,21600r21600,l21600,xe">
              <v:stroke joinstyle="miter"/>
              <v:path gradientshapeok="t" o:connecttype="rect"/>
            </v:shapetype>
            <v:shape id="Text Box 5" o:spid="_x0000_s1029" type="#_x0000_t202" alt="OFFICIAL" style="position:absolute;margin-left:0;margin-top:0;width:43.45pt;height:37.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C6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XYyNT9DpoTDuVg3Le3fN1h6Q3z4YU5XDDOgaIN&#10;z3hIBX1N4WxR0oL78Td/zEfeMUpJj4KpqUFFU6K+GdxH1FYyiru8zPHmJvduMsxBPwDKsMAXYXky&#10;Y15Qkykd6DeU8yoWwhAzHMvVNEzmQxiVi8+Bi9UqJaGMLAsbs7U8Qke6Ipevwxtz9kx4wE09waQm&#10;Vr3jfcyNf3q7OgRkPy0lUjsSeWYcJZjWen4uUeO/3lPW9VEvfwI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E/XILoNAgAAHAQA&#10;AA4AAAAAAAAAAAAAAAAALgIAAGRycy9lMm9Eb2MueG1sUEsBAi0AFAAGAAgAAAAhALe4h6naAAAA&#10;AwEAAA8AAAAAAAAAAAAAAAAAZwQAAGRycy9kb3ducmV2LnhtbFBLBQYAAAAABAAEAPMAAABuBQAA&#10;AAA=&#10;" filled="f" stroked="f">
              <v:textbox style="mso-fit-shape-to-text:t" inset="0,15pt,0,0">
                <w:txbxContent>
                  <w:p w14:paraId="11382B68" w14:textId="32E5E928" w:rsidR="00542EE9" w:rsidRPr="00542EE9" w:rsidRDefault="00542EE9" w:rsidP="00542EE9">
                    <w:pPr>
                      <w:spacing w:after="0"/>
                      <w:rPr>
                        <w:rFonts w:cs="Calibri"/>
                        <w:noProof/>
                        <w:color w:val="FF0000"/>
                        <w:sz w:val="24"/>
                        <w:szCs w:val="24"/>
                      </w:rPr>
                    </w:pPr>
                    <w:r w:rsidRPr="00542EE9">
                      <w:rPr>
                        <w:rFonts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4EA9" w14:textId="03796B8E" w:rsidR="00377EF6" w:rsidRDefault="00377E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740D" w14:textId="780D3437" w:rsidR="00B2382D" w:rsidRPr="00B2382D" w:rsidRDefault="00B2382D" w:rsidP="00B23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D35F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E6352"/>
    <w:multiLevelType w:val="hybridMultilevel"/>
    <w:tmpl w:val="F87A23F6"/>
    <w:lvl w:ilvl="0" w:tplc="444C9B02">
      <w:start w:val="1"/>
      <w:numFmt w:val="bullet"/>
      <w:lvlText w:val=""/>
      <w:lvlJc w:val="left"/>
      <w:pPr>
        <w:ind w:left="720" w:hanging="360"/>
      </w:pPr>
      <w:rPr>
        <w:rFonts w:ascii="Symbol" w:hAnsi="Symbol" w:hint="default"/>
      </w:rPr>
    </w:lvl>
    <w:lvl w:ilvl="1" w:tplc="12687F1C" w:tentative="1">
      <w:start w:val="1"/>
      <w:numFmt w:val="bullet"/>
      <w:lvlText w:val="o"/>
      <w:lvlJc w:val="left"/>
      <w:pPr>
        <w:ind w:left="1440" w:hanging="360"/>
      </w:pPr>
      <w:rPr>
        <w:rFonts w:ascii="Courier New" w:hAnsi="Courier New" w:cs="Courier New" w:hint="default"/>
      </w:rPr>
    </w:lvl>
    <w:lvl w:ilvl="2" w:tplc="E04699A8" w:tentative="1">
      <w:start w:val="1"/>
      <w:numFmt w:val="bullet"/>
      <w:lvlText w:val=""/>
      <w:lvlJc w:val="left"/>
      <w:pPr>
        <w:ind w:left="2160" w:hanging="360"/>
      </w:pPr>
      <w:rPr>
        <w:rFonts w:ascii="Wingdings" w:hAnsi="Wingdings" w:hint="default"/>
      </w:rPr>
    </w:lvl>
    <w:lvl w:ilvl="3" w:tplc="461E63E4" w:tentative="1">
      <w:start w:val="1"/>
      <w:numFmt w:val="bullet"/>
      <w:lvlText w:val=""/>
      <w:lvlJc w:val="left"/>
      <w:pPr>
        <w:ind w:left="2880" w:hanging="360"/>
      </w:pPr>
      <w:rPr>
        <w:rFonts w:ascii="Symbol" w:hAnsi="Symbol" w:hint="default"/>
      </w:rPr>
    </w:lvl>
    <w:lvl w:ilvl="4" w:tplc="B930E418" w:tentative="1">
      <w:start w:val="1"/>
      <w:numFmt w:val="bullet"/>
      <w:lvlText w:val="o"/>
      <w:lvlJc w:val="left"/>
      <w:pPr>
        <w:ind w:left="3600" w:hanging="360"/>
      </w:pPr>
      <w:rPr>
        <w:rFonts w:ascii="Courier New" w:hAnsi="Courier New" w:cs="Courier New" w:hint="default"/>
      </w:rPr>
    </w:lvl>
    <w:lvl w:ilvl="5" w:tplc="2FC8626A" w:tentative="1">
      <w:start w:val="1"/>
      <w:numFmt w:val="bullet"/>
      <w:lvlText w:val=""/>
      <w:lvlJc w:val="left"/>
      <w:pPr>
        <w:ind w:left="4320" w:hanging="360"/>
      </w:pPr>
      <w:rPr>
        <w:rFonts w:ascii="Wingdings" w:hAnsi="Wingdings" w:hint="default"/>
      </w:rPr>
    </w:lvl>
    <w:lvl w:ilvl="6" w:tplc="121E7CAC" w:tentative="1">
      <w:start w:val="1"/>
      <w:numFmt w:val="bullet"/>
      <w:lvlText w:val=""/>
      <w:lvlJc w:val="left"/>
      <w:pPr>
        <w:ind w:left="5040" w:hanging="360"/>
      </w:pPr>
      <w:rPr>
        <w:rFonts w:ascii="Symbol" w:hAnsi="Symbol" w:hint="default"/>
      </w:rPr>
    </w:lvl>
    <w:lvl w:ilvl="7" w:tplc="33603E24" w:tentative="1">
      <w:start w:val="1"/>
      <w:numFmt w:val="bullet"/>
      <w:lvlText w:val="o"/>
      <w:lvlJc w:val="left"/>
      <w:pPr>
        <w:ind w:left="5760" w:hanging="360"/>
      </w:pPr>
      <w:rPr>
        <w:rFonts w:ascii="Courier New" w:hAnsi="Courier New" w:cs="Courier New" w:hint="default"/>
      </w:rPr>
    </w:lvl>
    <w:lvl w:ilvl="8" w:tplc="706A2976" w:tentative="1">
      <w:start w:val="1"/>
      <w:numFmt w:val="bullet"/>
      <w:lvlText w:val=""/>
      <w:lvlJc w:val="left"/>
      <w:pPr>
        <w:ind w:left="6480" w:hanging="360"/>
      </w:pPr>
      <w:rPr>
        <w:rFonts w:ascii="Wingdings" w:hAnsi="Wingdings" w:hint="default"/>
      </w:rPr>
    </w:lvl>
  </w:abstractNum>
  <w:abstractNum w:abstractNumId="2" w15:restartNumberingAfterBreak="0">
    <w:nsid w:val="066E53A4"/>
    <w:multiLevelType w:val="hybridMultilevel"/>
    <w:tmpl w:val="7ABAA924"/>
    <w:lvl w:ilvl="0" w:tplc="6E24F312">
      <w:start w:val="1"/>
      <w:numFmt w:val="lowerLetter"/>
      <w:lvlText w:val="(%1)"/>
      <w:lvlJc w:val="left"/>
      <w:pPr>
        <w:ind w:left="720" w:hanging="360"/>
      </w:pPr>
      <w:rPr>
        <w:rFonts w:hint="default"/>
      </w:rPr>
    </w:lvl>
    <w:lvl w:ilvl="1" w:tplc="8312B0B6" w:tentative="1">
      <w:start w:val="1"/>
      <w:numFmt w:val="lowerLetter"/>
      <w:lvlText w:val="%2."/>
      <w:lvlJc w:val="left"/>
      <w:pPr>
        <w:ind w:left="1440" w:hanging="360"/>
      </w:pPr>
    </w:lvl>
    <w:lvl w:ilvl="2" w:tplc="D42E9588" w:tentative="1">
      <w:start w:val="1"/>
      <w:numFmt w:val="lowerRoman"/>
      <w:lvlText w:val="%3."/>
      <w:lvlJc w:val="right"/>
      <w:pPr>
        <w:ind w:left="2160" w:hanging="180"/>
      </w:pPr>
    </w:lvl>
    <w:lvl w:ilvl="3" w:tplc="05086D24" w:tentative="1">
      <w:start w:val="1"/>
      <w:numFmt w:val="decimal"/>
      <w:lvlText w:val="%4."/>
      <w:lvlJc w:val="left"/>
      <w:pPr>
        <w:ind w:left="2880" w:hanging="360"/>
      </w:pPr>
    </w:lvl>
    <w:lvl w:ilvl="4" w:tplc="7E16997A" w:tentative="1">
      <w:start w:val="1"/>
      <w:numFmt w:val="lowerLetter"/>
      <w:lvlText w:val="%5."/>
      <w:lvlJc w:val="left"/>
      <w:pPr>
        <w:ind w:left="3600" w:hanging="360"/>
      </w:pPr>
    </w:lvl>
    <w:lvl w:ilvl="5" w:tplc="798C5F48" w:tentative="1">
      <w:start w:val="1"/>
      <w:numFmt w:val="lowerRoman"/>
      <w:lvlText w:val="%6."/>
      <w:lvlJc w:val="right"/>
      <w:pPr>
        <w:ind w:left="4320" w:hanging="180"/>
      </w:pPr>
    </w:lvl>
    <w:lvl w:ilvl="6" w:tplc="EBC80182" w:tentative="1">
      <w:start w:val="1"/>
      <w:numFmt w:val="decimal"/>
      <w:lvlText w:val="%7."/>
      <w:lvlJc w:val="left"/>
      <w:pPr>
        <w:ind w:left="5040" w:hanging="360"/>
      </w:pPr>
    </w:lvl>
    <w:lvl w:ilvl="7" w:tplc="54B8B14E" w:tentative="1">
      <w:start w:val="1"/>
      <w:numFmt w:val="lowerLetter"/>
      <w:lvlText w:val="%8."/>
      <w:lvlJc w:val="left"/>
      <w:pPr>
        <w:ind w:left="5760" w:hanging="360"/>
      </w:pPr>
    </w:lvl>
    <w:lvl w:ilvl="8" w:tplc="B10C8E76" w:tentative="1">
      <w:start w:val="1"/>
      <w:numFmt w:val="lowerRoman"/>
      <w:lvlText w:val="%9."/>
      <w:lvlJc w:val="right"/>
      <w:pPr>
        <w:ind w:left="6480" w:hanging="180"/>
      </w:pPr>
    </w:lvl>
  </w:abstractNum>
  <w:abstractNum w:abstractNumId="3" w15:restartNumberingAfterBreak="0">
    <w:nsid w:val="088B78AE"/>
    <w:multiLevelType w:val="hybridMultilevel"/>
    <w:tmpl w:val="9CF28DCE"/>
    <w:lvl w:ilvl="0" w:tplc="4448E42A">
      <w:start w:val="1"/>
      <w:numFmt w:val="bullet"/>
      <w:lvlText w:val=""/>
      <w:lvlJc w:val="left"/>
      <w:pPr>
        <w:ind w:left="745" w:hanging="360"/>
      </w:pPr>
      <w:rPr>
        <w:rFonts w:ascii="Symbol" w:hAnsi="Symbol" w:hint="default"/>
      </w:rPr>
    </w:lvl>
    <w:lvl w:ilvl="1" w:tplc="D7962248" w:tentative="1">
      <w:start w:val="1"/>
      <w:numFmt w:val="bullet"/>
      <w:lvlText w:val="o"/>
      <w:lvlJc w:val="left"/>
      <w:pPr>
        <w:ind w:left="1465" w:hanging="360"/>
      </w:pPr>
      <w:rPr>
        <w:rFonts w:ascii="Courier New" w:hAnsi="Courier New" w:cs="Courier New" w:hint="default"/>
      </w:rPr>
    </w:lvl>
    <w:lvl w:ilvl="2" w:tplc="A0F8E9EE" w:tentative="1">
      <w:start w:val="1"/>
      <w:numFmt w:val="bullet"/>
      <w:lvlText w:val=""/>
      <w:lvlJc w:val="left"/>
      <w:pPr>
        <w:ind w:left="2185" w:hanging="360"/>
      </w:pPr>
      <w:rPr>
        <w:rFonts w:ascii="Wingdings" w:hAnsi="Wingdings" w:hint="default"/>
      </w:rPr>
    </w:lvl>
    <w:lvl w:ilvl="3" w:tplc="0BDE811C" w:tentative="1">
      <w:start w:val="1"/>
      <w:numFmt w:val="bullet"/>
      <w:lvlText w:val=""/>
      <w:lvlJc w:val="left"/>
      <w:pPr>
        <w:ind w:left="2905" w:hanging="360"/>
      </w:pPr>
      <w:rPr>
        <w:rFonts w:ascii="Symbol" w:hAnsi="Symbol" w:hint="default"/>
      </w:rPr>
    </w:lvl>
    <w:lvl w:ilvl="4" w:tplc="9A94CD40" w:tentative="1">
      <w:start w:val="1"/>
      <w:numFmt w:val="bullet"/>
      <w:lvlText w:val="o"/>
      <w:lvlJc w:val="left"/>
      <w:pPr>
        <w:ind w:left="3625" w:hanging="360"/>
      </w:pPr>
      <w:rPr>
        <w:rFonts w:ascii="Courier New" w:hAnsi="Courier New" w:cs="Courier New" w:hint="default"/>
      </w:rPr>
    </w:lvl>
    <w:lvl w:ilvl="5" w:tplc="9F4A6A54" w:tentative="1">
      <w:start w:val="1"/>
      <w:numFmt w:val="bullet"/>
      <w:lvlText w:val=""/>
      <w:lvlJc w:val="left"/>
      <w:pPr>
        <w:ind w:left="4345" w:hanging="360"/>
      </w:pPr>
      <w:rPr>
        <w:rFonts w:ascii="Wingdings" w:hAnsi="Wingdings" w:hint="default"/>
      </w:rPr>
    </w:lvl>
    <w:lvl w:ilvl="6" w:tplc="99664F48" w:tentative="1">
      <w:start w:val="1"/>
      <w:numFmt w:val="bullet"/>
      <w:lvlText w:val=""/>
      <w:lvlJc w:val="left"/>
      <w:pPr>
        <w:ind w:left="5065" w:hanging="360"/>
      </w:pPr>
      <w:rPr>
        <w:rFonts w:ascii="Symbol" w:hAnsi="Symbol" w:hint="default"/>
      </w:rPr>
    </w:lvl>
    <w:lvl w:ilvl="7" w:tplc="FAA41C22" w:tentative="1">
      <w:start w:val="1"/>
      <w:numFmt w:val="bullet"/>
      <w:lvlText w:val="o"/>
      <w:lvlJc w:val="left"/>
      <w:pPr>
        <w:ind w:left="5785" w:hanging="360"/>
      </w:pPr>
      <w:rPr>
        <w:rFonts w:ascii="Courier New" w:hAnsi="Courier New" w:cs="Courier New" w:hint="default"/>
      </w:rPr>
    </w:lvl>
    <w:lvl w:ilvl="8" w:tplc="C1B82E70" w:tentative="1">
      <w:start w:val="1"/>
      <w:numFmt w:val="bullet"/>
      <w:lvlText w:val=""/>
      <w:lvlJc w:val="left"/>
      <w:pPr>
        <w:ind w:left="6505" w:hanging="360"/>
      </w:pPr>
      <w:rPr>
        <w:rFonts w:ascii="Wingdings" w:hAnsi="Wingdings" w:hint="default"/>
      </w:rPr>
    </w:lvl>
  </w:abstractNum>
  <w:abstractNum w:abstractNumId="4" w15:restartNumberingAfterBreak="0">
    <w:nsid w:val="129876B6"/>
    <w:multiLevelType w:val="hybridMultilevel"/>
    <w:tmpl w:val="D4C88DD2"/>
    <w:lvl w:ilvl="0" w:tplc="E00E2E68">
      <w:start w:val="1"/>
      <w:numFmt w:val="lowerLetter"/>
      <w:lvlText w:val="(%1)"/>
      <w:lvlJc w:val="left"/>
      <w:pPr>
        <w:ind w:left="720" w:hanging="360"/>
      </w:pPr>
      <w:rPr>
        <w:rFonts w:hint="default"/>
      </w:rPr>
    </w:lvl>
    <w:lvl w:ilvl="1" w:tplc="AFA26474" w:tentative="1">
      <w:start w:val="1"/>
      <w:numFmt w:val="lowerLetter"/>
      <w:lvlText w:val="%2."/>
      <w:lvlJc w:val="left"/>
      <w:pPr>
        <w:ind w:left="1440" w:hanging="360"/>
      </w:pPr>
    </w:lvl>
    <w:lvl w:ilvl="2" w:tplc="2856EFA2" w:tentative="1">
      <w:start w:val="1"/>
      <w:numFmt w:val="lowerRoman"/>
      <w:lvlText w:val="%3."/>
      <w:lvlJc w:val="right"/>
      <w:pPr>
        <w:ind w:left="2160" w:hanging="180"/>
      </w:pPr>
    </w:lvl>
    <w:lvl w:ilvl="3" w:tplc="D5DE3DA8" w:tentative="1">
      <w:start w:val="1"/>
      <w:numFmt w:val="decimal"/>
      <w:lvlText w:val="%4."/>
      <w:lvlJc w:val="left"/>
      <w:pPr>
        <w:ind w:left="2880" w:hanging="360"/>
      </w:pPr>
    </w:lvl>
    <w:lvl w:ilvl="4" w:tplc="E26E18AA" w:tentative="1">
      <w:start w:val="1"/>
      <w:numFmt w:val="lowerLetter"/>
      <w:lvlText w:val="%5."/>
      <w:lvlJc w:val="left"/>
      <w:pPr>
        <w:ind w:left="3600" w:hanging="360"/>
      </w:pPr>
    </w:lvl>
    <w:lvl w:ilvl="5" w:tplc="91B2D5D0" w:tentative="1">
      <w:start w:val="1"/>
      <w:numFmt w:val="lowerRoman"/>
      <w:lvlText w:val="%6."/>
      <w:lvlJc w:val="right"/>
      <w:pPr>
        <w:ind w:left="4320" w:hanging="180"/>
      </w:pPr>
    </w:lvl>
    <w:lvl w:ilvl="6" w:tplc="4F36649C" w:tentative="1">
      <w:start w:val="1"/>
      <w:numFmt w:val="decimal"/>
      <w:lvlText w:val="%7."/>
      <w:lvlJc w:val="left"/>
      <w:pPr>
        <w:ind w:left="5040" w:hanging="360"/>
      </w:pPr>
    </w:lvl>
    <w:lvl w:ilvl="7" w:tplc="34703972" w:tentative="1">
      <w:start w:val="1"/>
      <w:numFmt w:val="lowerLetter"/>
      <w:lvlText w:val="%8."/>
      <w:lvlJc w:val="left"/>
      <w:pPr>
        <w:ind w:left="5760" w:hanging="360"/>
      </w:pPr>
    </w:lvl>
    <w:lvl w:ilvl="8" w:tplc="30BE3536" w:tentative="1">
      <w:start w:val="1"/>
      <w:numFmt w:val="lowerRoman"/>
      <w:lvlText w:val="%9."/>
      <w:lvlJc w:val="right"/>
      <w:pPr>
        <w:ind w:left="6480" w:hanging="180"/>
      </w:pPr>
    </w:lvl>
  </w:abstractNum>
  <w:abstractNum w:abstractNumId="5" w15:restartNumberingAfterBreak="0">
    <w:nsid w:val="1E7933EC"/>
    <w:multiLevelType w:val="hybridMultilevel"/>
    <w:tmpl w:val="AD808D50"/>
    <w:lvl w:ilvl="0" w:tplc="6B5E7102">
      <w:start w:val="1"/>
      <w:numFmt w:val="lowerLetter"/>
      <w:lvlText w:val="(%1)"/>
      <w:lvlJc w:val="left"/>
      <w:pPr>
        <w:ind w:left="720" w:hanging="360"/>
      </w:pPr>
      <w:rPr>
        <w:rFonts w:hint="default"/>
      </w:rPr>
    </w:lvl>
    <w:lvl w:ilvl="1" w:tplc="BCF6BA66" w:tentative="1">
      <w:start w:val="1"/>
      <w:numFmt w:val="lowerLetter"/>
      <w:lvlText w:val="%2."/>
      <w:lvlJc w:val="left"/>
      <w:pPr>
        <w:ind w:left="1440" w:hanging="360"/>
      </w:pPr>
    </w:lvl>
    <w:lvl w:ilvl="2" w:tplc="66E00198" w:tentative="1">
      <w:start w:val="1"/>
      <w:numFmt w:val="lowerRoman"/>
      <w:lvlText w:val="%3."/>
      <w:lvlJc w:val="right"/>
      <w:pPr>
        <w:ind w:left="2160" w:hanging="180"/>
      </w:pPr>
    </w:lvl>
    <w:lvl w:ilvl="3" w:tplc="77125EC0" w:tentative="1">
      <w:start w:val="1"/>
      <w:numFmt w:val="decimal"/>
      <w:lvlText w:val="%4."/>
      <w:lvlJc w:val="left"/>
      <w:pPr>
        <w:ind w:left="2880" w:hanging="360"/>
      </w:pPr>
    </w:lvl>
    <w:lvl w:ilvl="4" w:tplc="5B08B0D4" w:tentative="1">
      <w:start w:val="1"/>
      <w:numFmt w:val="lowerLetter"/>
      <w:lvlText w:val="%5."/>
      <w:lvlJc w:val="left"/>
      <w:pPr>
        <w:ind w:left="3600" w:hanging="360"/>
      </w:pPr>
    </w:lvl>
    <w:lvl w:ilvl="5" w:tplc="60180A4C" w:tentative="1">
      <w:start w:val="1"/>
      <w:numFmt w:val="lowerRoman"/>
      <w:lvlText w:val="%6."/>
      <w:lvlJc w:val="right"/>
      <w:pPr>
        <w:ind w:left="4320" w:hanging="180"/>
      </w:pPr>
    </w:lvl>
    <w:lvl w:ilvl="6" w:tplc="737E1C8A" w:tentative="1">
      <w:start w:val="1"/>
      <w:numFmt w:val="decimal"/>
      <w:lvlText w:val="%7."/>
      <w:lvlJc w:val="left"/>
      <w:pPr>
        <w:ind w:left="5040" w:hanging="360"/>
      </w:pPr>
    </w:lvl>
    <w:lvl w:ilvl="7" w:tplc="52E8FA9C" w:tentative="1">
      <w:start w:val="1"/>
      <w:numFmt w:val="lowerLetter"/>
      <w:lvlText w:val="%8."/>
      <w:lvlJc w:val="left"/>
      <w:pPr>
        <w:ind w:left="5760" w:hanging="360"/>
      </w:pPr>
    </w:lvl>
    <w:lvl w:ilvl="8" w:tplc="EEF0F69E" w:tentative="1">
      <w:start w:val="1"/>
      <w:numFmt w:val="lowerRoman"/>
      <w:lvlText w:val="%9."/>
      <w:lvlJc w:val="right"/>
      <w:pPr>
        <w:ind w:left="6480" w:hanging="180"/>
      </w:pPr>
    </w:lvl>
  </w:abstractNum>
  <w:abstractNum w:abstractNumId="6" w15:restartNumberingAfterBreak="0">
    <w:nsid w:val="1F3443F1"/>
    <w:multiLevelType w:val="hybridMultilevel"/>
    <w:tmpl w:val="DAD84400"/>
    <w:lvl w:ilvl="0" w:tplc="181A159C">
      <w:start w:val="1"/>
      <w:numFmt w:val="lowerLetter"/>
      <w:lvlText w:val="(%1)"/>
      <w:lvlJc w:val="left"/>
      <w:pPr>
        <w:ind w:left="720" w:hanging="360"/>
      </w:pPr>
      <w:rPr>
        <w:rFonts w:hint="default"/>
      </w:rPr>
    </w:lvl>
    <w:lvl w:ilvl="1" w:tplc="7422BE4A" w:tentative="1">
      <w:start w:val="1"/>
      <w:numFmt w:val="lowerLetter"/>
      <w:lvlText w:val="%2."/>
      <w:lvlJc w:val="left"/>
      <w:pPr>
        <w:ind w:left="1440" w:hanging="360"/>
      </w:pPr>
    </w:lvl>
    <w:lvl w:ilvl="2" w:tplc="B2444906" w:tentative="1">
      <w:start w:val="1"/>
      <w:numFmt w:val="lowerRoman"/>
      <w:lvlText w:val="%3."/>
      <w:lvlJc w:val="right"/>
      <w:pPr>
        <w:ind w:left="2160" w:hanging="180"/>
      </w:pPr>
    </w:lvl>
    <w:lvl w:ilvl="3" w:tplc="FFF6274A" w:tentative="1">
      <w:start w:val="1"/>
      <w:numFmt w:val="decimal"/>
      <w:lvlText w:val="%4."/>
      <w:lvlJc w:val="left"/>
      <w:pPr>
        <w:ind w:left="2880" w:hanging="360"/>
      </w:pPr>
    </w:lvl>
    <w:lvl w:ilvl="4" w:tplc="A6FA6ABE" w:tentative="1">
      <w:start w:val="1"/>
      <w:numFmt w:val="lowerLetter"/>
      <w:lvlText w:val="%5."/>
      <w:lvlJc w:val="left"/>
      <w:pPr>
        <w:ind w:left="3600" w:hanging="360"/>
      </w:pPr>
    </w:lvl>
    <w:lvl w:ilvl="5" w:tplc="698CB980" w:tentative="1">
      <w:start w:val="1"/>
      <w:numFmt w:val="lowerRoman"/>
      <w:lvlText w:val="%6."/>
      <w:lvlJc w:val="right"/>
      <w:pPr>
        <w:ind w:left="4320" w:hanging="180"/>
      </w:pPr>
    </w:lvl>
    <w:lvl w:ilvl="6" w:tplc="0B8ECAC8" w:tentative="1">
      <w:start w:val="1"/>
      <w:numFmt w:val="decimal"/>
      <w:lvlText w:val="%7."/>
      <w:lvlJc w:val="left"/>
      <w:pPr>
        <w:ind w:left="5040" w:hanging="360"/>
      </w:pPr>
    </w:lvl>
    <w:lvl w:ilvl="7" w:tplc="02F016DC" w:tentative="1">
      <w:start w:val="1"/>
      <w:numFmt w:val="lowerLetter"/>
      <w:lvlText w:val="%8."/>
      <w:lvlJc w:val="left"/>
      <w:pPr>
        <w:ind w:left="5760" w:hanging="360"/>
      </w:pPr>
    </w:lvl>
    <w:lvl w:ilvl="8" w:tplc="6EDA1C44" w:tentative="1">
      <w:start w:val="1"/>
      <w:numFmt w:val="lowerRoman"/>
      <w:lvlText w:val="%9."/>
      <w:lvlJc w:val="right"/>
      <w:pPr>
        <w:ind w:left="6480" w:hanging="180"/>
      </w:pPr>
    </w:lvl>
  </w:abstractNum>
  <w:abstractNum w:abstractNumId="7" w15:restartNumberingAfterBreak="0">
    <w:nsid w:val="1F647A11"/>
    <w:multiLevelType w:val="hybridMultilevel"/>
    <w:tmpl w:val="621E8E6E"/>
    <w:lvl w:ilvl="0" w:tplc="D97857E4">
      <w:start w:val="1"/>
      <w:numFmt w:val="bullet"/>
      <w:lvlText w:val=""/>
      <w:lvlJc w:val="left"/>
      <w:pPr>
        <w:ind w:left="720" w:hanging="360"/>
      </w:pPr>
      <w:rPr>
        <w:rFonts w:ascii="Symbol" w:hAnsi="Symbol" w:hint="default"/>
      </w:rPr>
    </w:lvl>
    <w:lvl w:ilvl="1" w:tplc="17B01E9E" w:tentative="1">
      <w:start w:val="1"/>
      <w:numFmt w:val="bullet"/>
      <w:lvlText w:val="o"/>
      <w:lvlJc w:val="left"/>
      <w:pPr>
        <w:ind w:left="1440" w:hanging="360"/>
      </w:pPr>
      <w:rPr>
        <w:rFonts w:ascii="Courier New" w:hAnsi="Courier New" w:cs="Courier New" w:hint="default"/>
      </w:rPr>
    </w:lvl>
    <w:lvl w:ilvl="2" w:tplc="D32CED06" w:tentative="1">
      <w:start w:val="1"/>
      <w:numFmt w:val="bullet"/>
      <w:lvlText w:val=""/>
      <w:lvlJc w:val="left"/>
      <w:pPr>
        <w:ind w:left="2160" w:hanging="360"/>
      </w:pPr>
      <w:rPr>
        <w:rFonts w:ascii="Wingdings" w:hAnsi="Wingdings" w:hint="default"/>
      </w:rPr>
    </w:lvl>
    <w:lvl w:ilvl="3" w:tplc="C5B2D45A" w:tentative="1">
      <w:start w:val="1"/>
      <w:numFmt w:val="bullet"/>
      <w:lvlText w:val=""/>
      <w:lvlJc w:val="left"/>
      <w:pPr>
        <w:ind w:left="2880" w:hanging="360"/>
      </w:pPr>
      <w:rPr>
        <w:rFonts w:ascii="Symbol" w:hAnsi="Symbol" w:hint="default"/>
      </w:rPr>
    </w:lvl>
    <w:lvl w:ilvl="4" w:tplc="FD22AE64" w:tentative="1">
      <w:start w:val="1"/>
      <w:numFmt w:val="bullet"/>
      <w:lvlText w:val="o"/>
      <w:lvlJc w:val="left"/>
      <w:pPr>
        <w:ind w:left="3600" w:hanging="360"/>
      </w:pPr>
      <w:rPr>
        <w:rFonts w:ascii="Courier New" w:hAnsi="Courier New" w:cs="Courier New" w:hint="default"/>
      </w:rPr>
    </w:lvl>
    <w:lvl w:ilvl="5" w:tplc="D5DAA9C6" w:tentative="1">
      <w:start w:val="1"/>
      <w:numFmt w:val="bullet"/>
      <w:lvlText w:val=""/>
      <w:lvlJc w:val="left"/>
      <w:pPr>
        <w:ind w:left="4320" w:hanging="360"/>
      </w:pPr>
      <w:rPr>
        <w:rFonts w:ascii="Wingdings" w:hAnsi="Wingdings" w:hint="default"/>
      </w:rPr>
    </w:lvl>
    <w:lvl w:ilvl="6" w:tplc="A68274DC" w:tentative="1">
      <w:start w:val="1"/>
      <w:numFmt w:val="bullet"/>
      <w:lvlText w:val=""/>
      <w:lvlJc w:val="left"/>
      <w:pPr>
        <w:ind w:left="5040" w:hanging="360"/>
      </w:pPr>
      <w:rPr>
        <w:rFonts w:ascii="Symbol" w:hAnsi="Symbol" w:hint="default"/>
      </w:rPr>
    </w:lvl>
    <w:lvl w:ilvl="7" w:tplc="7E86795C" w:tentative="1">
      <w:start w:val="1"/>
      <w:numFmt w:val="bullet"/>
      <w:lvlText w:val="o"/>
      <w:lvlJc w:val="left"/>
      <w:pPr>
        <w:ind w:left="5760" w:hanging="360"/>
      </w:pPr>
      <w:rPr>
        <w:rFonts w:ascii="Courier New" w:hAnsi="Courier New" w:cs="Courier New" w:hint="default"/>
      </w:rPr>
    </w:lvl>
    <w:lvl w:ilvl="8" w:tplc="2D5ECE5A" w:tentative="1">
      <w:start w:val="1"/>
      <w:numFmt w:val="bullet"/>
      <w:lvlText w:val=""/>
      <w:lvlJc w:val="left"/>
      <w:pPr>
        <w:ind w:left="6480" w:hanging="360"/>
      </w:pPr>
      <w:rPr>
        <w:rFonts w:ascii="Wingdings" w:hAnsi="Wingdings" w:hint="default"/>
      </w:rPr>
    </w:lvl>
  </w:abstractNum>
  <w:abstractNum w:abstractNumId="8" w15:restartNumberingAfterBreak="0">
    <w:nsid w:val="248654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226BB5"/>
    <w:multiLevelType w:val="hybridMultilevel"/>
    <w:tmpl w:val="B0288BCE"/>
    <w:lvl w:ilvl="0" w:tplc="5764253A">
      <w:start w:val="1"/>
      <w:numFmt w:val="lowerLetter"/>
      <w:lvlText w:val="(%1)"/>
      <w:lvlJc w:val="left"/>
      <w:pPr>
        <w:ind w:left="720" w:hanging="360"/>
      </w:pPr>
      <w:rPr>
        <w:rFonts w:hint="default"/>
      </w:rPr>
    </w:lvl>
    <w:lvl w:ilvl="1" w:tplc="706075B2" w:tentative="1">
      <w:start w:val="1"/>
      <w:numFmt w:val="lowerLetter"/>
      <w:lvlText w:val="%2."/>
      <w:lvlJc w:val="left"/>
      <w:pPr>
        <w:ind w:left="1440" w:hanging="360"/>
      </w:pPr>
    </w:lvl>
    <w:lvl w:ilvl="2" w:tplc="CB32F4D2" w:tentative="1">
      <w:start w:val="1"/>
      <w:numFmt w:val="lowerRoman"/>
      <w:lvlText w:val="%3."/>
      <w:lvlJc w:val="right"/>
      <w:pPr>
        <w:ind w:left="2160" w:hanging="180"/>
      </w:pPr>
    </w:lvl>
    <w:lvl w:ilvl="3" w:tplc="E1F4CCD8" w:tentative="1">
      <w:start w:val="1"/>
      <w:numFmt w:val="decimal"/>
      <w:lvlText w:val="%4."/>
      <w:lvlJc w:val="left"/>
      <w:pPr>
        <w:ind w:left="2880" w:hanging="360"/>
      </w:pPr>
    </w:lvl>
    <w:lvl w:ilvl="4" w:tplc="2012AC70" w:tentative="1">
      <w:start w:val="1"/>
      <w:numFmt w:val="lowerLetter"/>
      <w:lvlText w:val="%5."/>
      <w:lvlJc w:val="left"/>
      <w:pPr>
        <w:ind w:left="3600" w:hanging="360"/>
      </w:pPr>
    </w:lvl>
    <w:lvl w:ilvl="5" w:tplc="E65E3E88" w:tentative="1">
      <w:start w:val="1"/>
      <w:numFmt w:val="lowerRoman"/>
      <w:lvlText w:val="%6."/>
      <w:lvlJc w:val="right"/>
      <w:pPr>
        <w:ind w:left="4320" w:hanging="180"/>
      </w:pPr>
    </w:lvl>
    <w:lvl w:ilvl="6" w:tplc="75D61F24" w:tentative="1">
      <w:start w:val="1"/>
      <w:numFmt w:val="decimal"/>
      <w:lvlText w:val="%7."/>
      <w:lvlJc w:val="left"/>
      <w:pPr>
        <w:ind w:left="5040" w:hanging="360"/>
      </w:pPr>
    </w:lvl>
    <w:lvl w:ilvl="7" w:tplc="30268212" w:tentative="1">
      <w:start w:val="1"/>
      <w:numFmt w:val="lowerLetter"/>
      <w:lvlText w:val="%8."/>
      <w:lvlJc w:val="left"/>
      <w:pPr>
        <w:ind w:left="5760" w:hanging="360"/>
      </w:pPr>
    </w:lvl>
    <w:lvl w:ilvl="8" w:tplc="5DD2C104" w:tentative="1">
      <w:start w:val="1"/>
      <w:numFmt w:val="lowerRoman"/>
      <w:lvlText w:val="%9."/>
      <w:lvlJc w:val="right"/>
      <w:pPr>
        <w:ind w:left="6480" w:hanging="180"/>
      </w:pPr>
    </w:lvl>
  </w:abstractNum>
  <w:abstractNum w:abstractNumId="10" w15:restartNumberingAfterBreak="0">
    <w:nsid w:val="2D26379A"/>
    <w:multiLevelType w:val="hybridMultilevel"/>
    <w:tmpl w:val="8FD6A018"/>
    <w:lvl w:ilvl="0" w:tplc="A4FAAA88">
      <w:start w:val="1"/>
      <w:numFmt w:val="bullet"/>
      <w:lvlText w:val="o"/>
      <w:lvlJc w:val="left"/>
      <w:pPr>
        <w:ind w:left="720" w:hanging="360"/>
      </w:pPr>
      <w:rPr>
        <w:rFonts w:ascii="Courier New" w:hAnsi="Courier New" w:cs="Courier New" w:hint="default"/>
      </w:rPr>
    </w:lvl>
    <w:lvl w:ilvl="1" w:tplc="C158DB14" w:tentative="1">
      <w:start w:val="1"/>
      <w:numFmt w:val="bullet"/>
      <w:lvlText w:val="o"/>
      <w:lvlJc w:val="left"/>
      <w:pPr>
        <w:ind w:left="1440" w:hanging="360"/>
      </w:pPr>
      <w:rPr>
        <w:rFonts w:ascii="Courier New" w:hAnsi="Courier New" w:cs="Courier New" w:hint="default"/>
      </w:rPr>
    </w:lvl>
    <w:lvl w:ilvl="2" w:tplc="32041ADA" w:tentative="1">
      <w:start w:val="1"/>
      <w:numFmt w:val="bullet"/>
      <w:lvlText w:val=""/>
      <w:lvlJc w:val="left"/>
      <w:pPr>
        <w:ind w:left="2160" w:hanging="360"/>
      </w:pPr>
      <w:rPr>
        <w:rFonts w:ascii="Wingdings" w:hAnsi="Wingdings" w:hint="default"/>
      </w:rPr>
    </w:lvl>
    <w:lvl w:ilvl="3" w:tplc="67FE0DD6" w:tentative="1">
      <w:start w:val="1"/>
      <w:numFmt w:val="bullet"/>
      <w:lvlText w:val=""/>
      <w:lvlJc w:val="left"/>
      <w:pPr>
        <w:ind w:left="2880" w:hanging="360"/>
      </w:pPr>
      <w:rPr>
        <w:rFonts w:ascii="Symbol" w:hAnsi="Symbol" w:hint="default"/>
      </w:rPr>
    </w:lvl>
    <w:lvl w:ilvl="4" w:tplc="13BC98AA" w:tentative="1">
      <w:start w:val="1"/>
      <w:numFmt w:val="bullet"/>
      <w:lvlText w:val="o"/>
      <w:lvlJc w:val="left"/>
      <w:pPr>
        <w:ind w:left="3600" w:hanging="360"/>
      </w:pPr>
      <w:rPr>
        <w:rFonts w:ascii="Courier New" w:hAnsi="Courier New" w:cs="Courier New" w:hint="default"/>
      </w:rPr>
    </w:lvl>
    <w:lvl w:ilvl="5" w:tplc="346C7E6C" w:tentative="1">
      <w:start w:val="1"/>
      <w:numFmt w:val="bullet"/>
      <w:lvlText w:val=""/>
      <w:lvlJc w:val="left"/>
      <w:pPr>
        <w:ind w:left="4320" w:hanging="360"/>
      </w:pPr>
      <w:rPr>
        <w:rFonts w:ascii="Wingdings" w:hAnsi="Wingdings" w:hint="default"/>
      </w:rPr>
    </w:lvl>
    <w:lvl w:ilvl="6" w:tplc="7B143EF4" w:tentative="1">
      <w:start w:val="1"/>
      <w:numFmt w:val="bullet"/>
      <w:lvlText w:val=""/>
      <w:lvlJc w:val="left"/>
      <w:pPr>
        <w:ind w:left="5040" w:hanging="360"/>
      </w:pPr>
      <w:rPr>
        <w:rFonts w:ascii="Symbol" w:hAnsi="Symbol" w:hint="default"/>
      </w:rPr>
    </w:lvl>
    <w:lvl w:ilvl="7" w:tplc="707A8620" w:tentative="1">
      <w:start w:val="1"/>
      <w:numFmt w:val="bullet"/>
      <w:lvlText w:val="o"/>
      <w:lvlJc w:val="left"/>
      <w:pPr>
        <w:ind w:left="5760" w:hanging="360"/>
      </w:pPr>
      <w:rPr>
        <w:rFonts w:ascii="Courier New" w:hAnsi="Courier New" w:cs="Courier New" w:hint="default"/>
      </w:rPr>
    </w:lvl>
    <w:lvl w:ilvl="8" w:tplc="EE0A86D8" w:tentative="1">
      <w:start w:val="1"/>
      <w:numFmt w:val="bullet"/>
      <w:lvlText w:val=""/>
      <w:lvlJc w:val="left"/>
      <w:pPr>
        <w:ind w:left="6480" w:hanging="360"/>
      </w:pPr>
      <w:rPr>
        <w:rFonts w:ascii="Wingdings" w:hAnsi="Wingdings" w:hint="default"/>
      </w:rPr>
    </w:lvl>
  </w:abstractNum>
  <w:abstractNum w:abstractNumId="11" w15:restartNumberingAfterBreak="0">
    <w:nsid w:val="30F73128"/>
    <w:multiLevelType w:val="hybridMultilevel"/>
    <w:tmpl w:val="73FAD36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7648A5"/>
    <w:multiLevelType w:val="hybridMultilevel"/>
    <w:tmpl w:val="5BB82F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484C8D"/>
    <w:multiLevelType w:val="hybridMultilevel"/>
    <w:tmpl w:val="E9589C94"/>
    <w:lvl w:ilvl="0" w:tplc="330E0108">
      <w:start w:val="1"/>
      <w:numFmt w:val="lowerLetter"/>
      <w:lvlText w:val="(%1)"/>
      <w:lvlJc w:val="left"/>
      <w:pPr>
        <w:ind w:left="720" w:hanging="360"/>
      </w:pPr>
      <w:rPr>
        <w:rFonts w:hint="default"/>
      </w:rPr>
    </w:lvl>
    <w:lvl w:ilvl="1" w:tplc="E77E4CFE" w:tentative="1">
      <w:start w:val="1"/>
      <w:numFmt w:val="lowerLetter"/>
      <w:lvlText w:val="%2."/>
      <w:lvlJc w:val="left"/>
      <w:pPr>
        <w:ind w:left="1440" w:hanging="360"/>
      </w:pPr>
    </w:lvl>
    <w:lvl w:ilvl="2" w:tplc="0540CCD8" w:tentative="1">
      <w:start w:val="1"/>
      <w:numFmt w:val="lowerRoman"/>
      <w:lvlText w:val="%3."/>
      <w:lvlJc w:val="right"/>
      <w:pPr>
        <w:ind w:left="2160" w:hanging="180"/>
      </w:pPr>
    </w:lvl>
    <w:lvl w:ilvl="3" w:tplc="0E760C6E" w:tentative="1">
      <w:start w:val="1"/>
      <w:numFmt w:val="decimal"/>
      <w:lvlText w:val="%4."/>
      <w:lvlJc w:val="left"/>
      <w:pPr>
        <w:ind w:left="2880" w:hanging="360"/>
      </w:pPr>
    </w:lvl>
    <w:lvl w:ilvl="4" w:tplc="381E3884" w:tentative="1">
      <w:start w:val="1"/>
      <w:numFmt w:val="lowerLetter"/>
      <w:lvlText w:val="%5."/>
      <w:lvlJc w:val="left"/>
      <w:pPr>
        <w:ind w:left="3600" w:hanging="360"/>
      </w:pPr>
    </w:lvl>
    <w:lvl w:ilvl="5" w:tplc="8DC2C028" w:tentative="1">
      <w:start w:val="1"/>
      <w:numFmt w:val="lowerRoman"/>
      <w:lvlText w:val="%6."/>
      <w:lvlJc w:val="right"/>
      <w:pPr>
        <w:ind w:left="4320" w:hanging="180"/>
      </w:pPr>
    </w:lvl>
    <w:lvl w:ilvl="6" w:tplc="799CF716" w:tentative="1">
      <w:start w:val="1"/>
      <w:numFmt w:val="decimal"/>
      <w:lvlText w:val="%7."/>
      <w:lvlJc w:val="left"/>
      <w:pPr>
        <w:ind w:left="5040" w:hanging="360"/>
      </w:pPr>
    </w:lvl>
    <w:lvl w:ilvl="7" w:tplc="BC3E2B0E" w:tentative="1">
      <w:start w:val="1"/>
      <w:numFmt w:val="lowerLetter"/>
      <w:lvlText w:val="%8."/>
      <w:lvlJc w:val="left"/>
      <w:pPr>
        <w:ind w:left="5760" w:hanging="360"/>
      </w:pPr>
    </w:lvl>
    <w:lvl w:ilvl="8" w:tplc="046C0040" w:tentative="1">
      <w:start w:val="1"/>
      <w:numFmt w:val="lowerRoman"/>
      <w:lvlText w:val="%9."/>
      <w:lvlJc w:val="right"/>
      <w:pPr>
        <w:ind w:left="6480" w:hanging="180"/>
      </w:pPr>
    </w:lvl>
  </w:abstractNum>
  <w:abstractNum w:abstractNumId="14" w15:restartNumberingAfterBreak="0">
    <w:nsid w:val="36A04B72"/>
    <w:multiLevelType w:val="hybridMultilevel"/>
    <w:tmpl w:val="AD808D50"/>
    <w:lvl w:ilvl="0" w:tplc="DB2A5816">
      <w:start w:val="1"/>
      <w:numFmt w:val="lowerLetter"/>
      <w:lvlText w:val="(%1)"/>
      <w:lvlJc w:val="left"/>
      <w:pPr>
        <w:ind w:left="720" w:hanging="360"/>
      </w:pPr>
      <w:rPr>
        <w:rFonts w:hint="default"/>
      </w:rPr>
    </w:lvl>
    <w:lvl w:ilvl="1" w:tplc="BC269E7E" w:tentative="1">
      <w:start w:val="1"/>
      <w:numFmt w:val="lowerLetter"/>
      <w:lvlText w:val="%2."/>
      <w:lvlJc w:val="left"/>
      <w:pPr>
        <w:ind w:left="1440" w:hanging="360"/>
      </w:pPr>
    </w:lvl>
    <w:lvl w:ilvl="2" w:tplc="EB2A555C" w:tentative="1">
      <w:start w:val="1"/>
      <w:numFmt w:val="lowerRoman"/>
      <w:lvlText w:val="%3."/>
      <w:lvlJc w:val="right"/>
      <w:pPr>
        <w:ind w:left="2160" w:hanging="180"/>
      </w:pPr>
    </w:lvl>
    <w:lvl w:ilvl="3" w:tplc="42E6E2A4" w:tentative="1">
      <w:start w:val="1"/>
      <w:numFmt w:val="decimal"/>
      <w:lvlText w:val="%4."/>
      <w:lvlJc w:val="left"/>
      <w:pPr>
        <w:ind w:left="2880" w:hanging="360"/>
      </w:pPr>
    </w:lvl>
    <w:lvl w:ilvl="4" w:tplc="5ACE2A28" w:tentative="1">
      <w:start w:val="1"/>
      <w:numFmt w:val="lowerLetter"/>
      <w:lvlText w:val="%5."/>
      <w:lvlJc w:val="left"/>
      <w:pPr>
        <w:ind w:left="3600" w:hanging="360"/>
      </w:pPr>
    </w:lvl>
    <w:lvl w:ilvl="5" w:tplc="CF326BFC" w:tentative="1">
      <w:start w:val="1"/>
      <w:numFmt w:val="lowerRoman"/>
      <w:lvlText w:val="%6."/>
      <w:lvlJc w:val="right"/>
      <w:pPr>
        <w:ind w:left="4320" w:hanging="180"/>
      </w:pPr>
    </w:lvl>
    <w:lvl w:ilvl="6" w:tplc="082A8318" w:tentative="1">
      <w:start w:val="1"/>
      <w:numFmt w:val="decimal"/>
      <w:lvlText w:val="%7."/>
      <w:lvlJc w:val="left"/>
      <w:pPr>
        <w:ind w:left="5040" w:hanging="360"/>
      </w:pPr>
    </w:lvl>
    <w:lvl w:ilvl="7" w:tplc="BE74E662" w:tentative="1">
      <w:start w:val="1"/>
      <w:numFmt w:val="lowerLetter"/>
      <w:lvlText w:val="%8."/>
      <w:lvlJc w:val="left"/>
      <w:pPr>
        <w:ind w:left="5760" w:hanging="360"/>
      </w:pPr>
    </w:lvl>
    <w:lvl w:ilvl="8" w:tplc="BC6E7B92" w:tentative="1">
      <w:start w:val="1"/>
      <w:numFmt w:val="lowerRoman"/>
      <w:lvlText w:val="%9."/>
      <w:lvlJc w:val="right"/>
      <w:pPr>
        <w:ind w:left="6480" w:hanging="180"/>
      </w:pPr>
    </w:lvl>
  </w:abstractNum>
  <w:abstractNum w:abstractNumId="15" w15:restartNumberingAfterBreak="0">
    <w:nsid w:val="397D1DD5"/>
    <w:multiLevelType w:val="hybridMultilevel"/>
    <w:tmpl w:val="90CC78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5641C3"/>
    <w:multiLevelType w:val="hybridMultilevel"/>
    <w:tmpl w:val="4210F486"/>
    <w:lvl w:ilvl="0" w:tplc="287440AA">
      <w:start w:val="1"/>
      <w:numFmt w:val="decimal"/>
      <w:pStyle w:val="Heading3bold"/>
      <w:lvlText w:val="%1"/>
      <w:lvlJc w:val="left"/>
      <w:pPr>
        <w:ind w:left="360" w:hanging="360"/>
      </w:pPr>
      <w:rPr>
        <w:rFonts w:hint="default"/>
        <w:color w:val="auto"/>
      </w:rPr>
    </w:lvl>
    <w:lvl w:ilvl="1" w:tplc="051A3002" w:tentative="1">
      <w:start w:val="1"/>
      <w:numFmt w:val="lowerLetter"/>
      <w:lvlText w:val="%2."/>
      <w:lvlJc w:val="left"/>
      <w:pPr>
        <w:ind w:left="-3805" w:hanging="360"/>
      </w:pPr>
    </w:lvl>
    <w:lvl w:ilvl="2" w:tplc="351CD1B8" w:tentative="1">
      <w:start w:val="1"/>
      <w:numFmt w:val="lowerRoman"/>
      <w:lvlText w:val="%3."/>
      <w:lvlJc w:val="right"/>
      <w:pPr>
        <w:ind w:left="-3085" w:hanging="180"/>
      </w:pPr>
    </w:lvl>
    <w:lvl w:ilvl="3" w:tplc="FEB621F8" w:tentative="1">
      <w:start w:val="1"/>
      <w:numFmt w:val="decimal"/>
      <w:lvlText w:val="%4."/>
      <w:lvlJc w:val="left"/>
      <w:pPr>
        <w:ind w:left="-2365" w:hanging="360"/>
      </w:pPr>
    </w:lvl>
    <w:lvl w:ilvl="4" w:tplc="A3462328" w:tentative="1">
      <w:start w:val="1"/>
      <w:numFmt w:val="lowerLetter"/>
      <w:lvlText w:val="%5."/>
      <w:lvlJc w:val="left"/>
      <w:pPr>
        <w:ind w:left="-1645" w:hanging="360"/>
      </w:pPr>
    </w:lvl>
    <w:lvl w:ilvl="5" w:tplc="F7FAFD34" w:tentative="1">
      <w:start w:val="1"/>
      <w:numFmt w:val="lowerRoman"/>
      <w:lvlText w:val="%6."/>
      <w:lvlJc w:val="right"/>
      <w:pPr>
        <w:ind w:left="-925" w:hanging="180"/>
      </w:pPr>
    </w:lvl>
    <w:lvl w:ilvl="6" w:tplc="7E342D6C" w:tentative="1">
      <w:start w:val="1"/>
      <w:numFmt w:val="decimal"/>
      <w:lvlText w:val="%7."/>
      <w:lvlJc w:val="left"/>
      <w:pPr>
        <w:ind w:left="-205" w:hanging="360"/>
      </w:pPr>
    </w:lvl>
    <w:lvl w:ilvl="7" w:tplc="075A5FFC" w:tentative="1">
      <w:start w:val="1"/>
      <w:numFmt w:val="lowerLetter"/>
      <w:lvlText w:val="%8."/>
      <w:lvlJc w:val="left"/>
      <w:pPr>
        <w:ind w:left="515" w:hanging="360"/>
      </w:pPr>
    </w:lvl>
    <w:lvl w:ilvl="8" w:tplc="E1A4DDC8" w:tentative="1">
      <w:start w:val="1"/>
      <w:numFmt w:val="lowerRoman"/>
      <w:lvlText w:val="%9."/>
      <w:lvlJc w:val="right"/>
      <w:pPr>
        <w:ind w:left="1235" w:hanging="180"/>
      </w:pPr>
    </w:lvl>
  </w:abstractNum>
  <w:abstractNum w:abstractNumId="17" w15:restartNumberingAfterBreak="0">
    <w:nsid w:val="4E5F5B95"/>
    <w:multiLevelType w:val="hybridMultilevel"/>
    <w:tmpl w:val="30405292"/>
    <w:lvl w:ilvl="0" w:tplc="9AF8B228">
      <w:start w:val="1"/>
      <w:numFmt w:val="lowerLetter"/>
      <w:lvlText w:val="(%1)"/>
      <w:lvlJc w:val="left"/>
      <w:pPr>
        <w:ind w:left="720" w:hanging="360"/>
      </w:pPr>
      <w:rPr>
        <w:rFonts w:hint="default"/>
      </w:rPr>
    </w:lvl>
    <w:lvl w:ilvl="1" w:tplc="3946C28A" w:tentative="1">
      <w:start w:val="1"/>
      <w:numFmt w:val="lowerLetter"/>
      <w:lvlText w:val="%2."/>
      <w:lvlJc w:val="left"/>
      <w:pPr>
        <w:ind w:left="1440" w:hanging="360"/>
      </w:pPr>
    </w:lvl>
    <w:lvl w:ilvl="2" w:tplc="BB78730A" w:tentative="1">
      <w:start w:val="1"/>
      <w:numFmt w:val="lowerRoman"/>
      <w:lvlText w:val="%3."/>
      <w:lvlJc w:val="right"/>
      <w:pPr>
        <w:ind w:left="2160" w:hanging="180"/>
      </w:pPr>
    </w:lvl>
    <w:lvl w:ilvl="3" w:tplc="D1AE933C" w:tentative="1">
      <w:start w:val="1"/>
      <w:numFmt w:val="decimal"/>
      <w:lvlText w:val="%4."/>
      <w:lvlJc w:val="left"/>
      <w:pPr>
        <w:ind w:left="2880" w:hanging="360"/>
      </w:pPr>
    </w:lvl>
    <w:lvl w:ilvl="4" w:tplc="DFF8C882" w:tentative="1">
      <w:start w:val="1"/>
      <w:numFmt w:val="lowerLetter"/>
      <w:lvlText w:val="%5."/>
      <w:lvlJc w:val="left"/>
      <w:pPr>
        <w:ind w:left="3600" w:hanging="360"/>
      </w:pPr>
    </w:lvl>
    <w:lvl w:ilvl="5" w:tplc="DA86C974" w:tentative="1">
      <w:start w:val="1"/>
      <w:numFmt w:val="lowerRoman"/>
      <w:lvlText w:val="%6."/>
      <w:lvlJc w:val="right"/>
      <w:pPr>
        <w:ind w:left="4320" w:hanging="180"/>
      </w:pPr>
    </w:lvl>
    <w:lvl w:ilvl="6" w:tplc="1840D626" w:tentative="1">
      <w:start w:val="1"/>
      <w:numFmt w:val="decimal"/>
      <w:lvlText w:val="%7."/>
      <w:lvlJc w:val="left"/>
      <w:pPr>
        <w:ind w:left="5040" w:hanging="360"/>
      </w:pPr>
    </w:lvl>
    <w:lvl w:ilvl="7" w:tplc="F28A2FB0" w:tentative="1">
      <w:start w:val="1"/>
      <w:numFmt w:val="lowerLetter"/>
      <w:lvlText w:val="%8."/>
      <w:lvlJc w:val="left"/>
      <w:pPr>
        <w:ind w:left="5760" w:hanging="360"/>
      </w:pPr>
    </w:lvl>
    <w:lvl w:ilvl="8" w:tplc="ECC26652" w:tentative="1">
      <w:start w:val="1"/>
      <w:numFmt w:val="lowerRoman"/>
      <w:lvlText w:val="%9."/>
      <w:lvlJc w:val="right"/>
      <w:pPr>
        <w:ind w:left="6480" w:hanging="180"/>
      </w:pPr>
    </w:lvl>
  </w:abstractNum>
  <w:abstractNum w:abstractNumId="18" w15:restartNumberingAfterBreak="0">
    <w:nsid w:val="560F4DED"/>
    <w:multiLevelType w:val="hybridMultilevel"/>
    <w:tmpl w:val="9614140C"/>
    <w:lvl w:ilvl="0" w:tplc="15EEA4EA">
      <w:start w:val="1"/>
      <w:numFmt w:val="bullet"/>
      <w:lvlText w:val=""/>
      <w:lvlJc w:val="left"/>
      <w:pPr>
        <w:ind w:left="720" w:hanging="360"/>
      </w:pPr>
      <w:rPr>
        <w:rFonts w:ascii="Symbol" w:hAnsi="Symbol" w:hint="default"/>
      </w:rPr>
    </w:lvl>
    <w:lvl w:ilvl="1" w:tplc="45B6B094" w:tentative="1">
      <w:start w:val="1"/>
      <w:numFmt w:val="bullet"/>
      <w:lvlText w:val="o"/>
      <w:lvlJc w:val="left"/>
      <w:pPr>
        <w:ind w:left="1440" w:hanging="360"/>
      </w:pPr>
      <w:rPr>
        <w:rFonts w:ascii="Courier New" w:hAnsi="Courier New" w:cs="Courier New" w:hint="default"/>
      </w:rPr>
    </w:lvl>
    <w:lvl w:ilvl="2" w:tplc="A91E640C" w:tentative="1">
      <w:start w:val="1"/>
      <w:numFmt w:val="bullet"/>
      <w:lvlText w:val=""/>
      <w:lvlJc w:val="left"/>
      <w:pPr>
        <w:ind w:left="2160" w:hanging="360"/>
      </w:pPr>
      <w:rPr>
        <w:rFonts w:ascii="Wingdings" w:hAnsi="Wingdings" w:hint="default"/>
      </w:rPr>
    </w:lvl>
    <w:lvl w:ilvl="3" w:tplc="AD9E32EA" w:tentative="1">
      <w:start w:val="1"/>
      <w:numFmt w:val="bullet"/>
      <w:lvlText w:val=""/>
      <w:lvlJc w:val="left"/>
      <w:pPr>
        <w:ind w:left="2880" w:hanging="360"/>
      </w:pPr>
      <w:rPr>
        <w:rFonts w:ascii="Symbol" w:hAnsi="Symbol" w:hint="default"/>
      </w:rPr>
    </w:lvl>
    <w:lvl w:ilvl="4" w:tplc="AA481218" w:tentative="1">
      <w:start w:val="1"/>
      <w:numFmt w:val="bullet"/>
      <w:lvlText w:val="o"/>
      <w:lvlJc w:val="left"/>
      <w:pPr>
        <w:ind w:left="3600" w:hanging="360"/>
      </w:pPr>
      <w:rPr>
        <w:rFonts w:ascii="Courier New" w:hAnsi="Courier New" w:cs="Courier New" w:hint="default"/>
      </w:rPr>
    </w:lvl>
    <w:lvl w:ilvl="5" w:tplc="9110847A" w:tentative="1">
      <w:start w:val="1"/>
      <w:numFmt w:val="bullet"/>
      <w:lvlText w:val=""/>
      <w:lvlJc w:val="left"/>
      <w:pPr>
        <w:ind w:left="4320" w:hanging="360"/>
      </w:pPr>
      <w:rPr>
        <w:rFonts w:ascii="Wingdings" w:hAnsi="Wingdings" w:hint="default"/>
      </w:rPr>
    </w:lvl>
    <w:lvl w:ilvl="6" w:tplc="D8A6FDA0" w:tentative="1">
      <w:start w:val="1"/>
      <w:numFmt w:val="bullet"/>
      <w:lvlText w:val=""/>
      <w:lvlJc w:val="left"/>
      <w:pPr>
        <w:ind w:left="5040" w:hanging="360"/>
      </w:pPr>
      <w:rPr>
        <w:rFonts w:ascii="Symbol" w:hAnsi="Symbol" w:hint="default"/>
      </w:rPr>
    </w:lvl>
    <w:lvl w:ilvl="7" w:tplc="9C922418" w:tentative="1">
      <w:start w:val="1"/>
      <w:numFmt w:val="bullet"/>
      <w:lvlText w:val="o"/>
      <w:lvlJc w:val="left"/>
      <w:pPr>
        <w:ind w:left="5760" w:hanging="360"/>
      </w:pPr>
      <w:rPr>
        <w:rFonts w:ascii="Courier New" w:hAnsi="Courier New" w:cs="Courier New" w:hint="default"/>
      </w:rPr>
    </w:lvl>
    <w:lvl w:ilvl="8" w:tplc="2F729AE8" w:tentative="1">
      <w:start w:val="1"/>
      <w:numFmt w:val="bullet"/>
      <w:lvlText w:val=""/>
      <w:lvlJc w:val="left"/>
      <w:pPr>
        <w:ind w:left="6480" w:hanging="360"/>
      </w:pPr>
      <w:rPr>
        <w:rFonts w:ascii="Wingdings" w:hAnsi="Wingdings" w:hint="default"/>
      </w:rPr>
    </w:lvl>
  </w:abstractNum>
  <w:abstractNum w:abstractNumId="19" w15:restartNumberingAfterBreak="0">
    <w:nsid w:val="5A8F675A"/>
    <w:multiLevelType w:val="hybridMultilevel"/>
    <w:tmpl w:val="C12E755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19962F8"/>
    <w:multiLevelType w:val="hybridMultilevel"/>
    <w:tmpl w:val="DA76916A"/>
    <w:lvl w:ilvl="0" w:tplc="6FDCD740">
      <w:start w:val="1"/>
      <w:numFmt w:val="decimal"/>
      <w:lvlText w:val="%1."/>
      <w:lvlJc w:val="left"/>
      <w:pPr>
        <w:ind w:left="720" w:hanging="360"/>
      </w:pPr>
      <w:rPr>
        <w:rFonts w:hint="default"/>
      </w:rPr>
    </w:lvl>
    <w:lvl w:ilvl="1" w:tplc="2F761AB6" w:tentative="1">
      <w:start w:val="1"/>
      <w:numFmt w:val="lowerLetter"/>
      <w:lvlText w:val="%2."/>
      <w:lvlJc w:val="left"/>
      <w:pPr>
        <w:ind w:left="1440" w:hanging="360"/>
      </w:pPr>
    </w:lvl>
    <w:lvl w:ilvl="2" w:tplc="23AE460C" w:tentative="1">
      <w:start w:val="1"/>
      <w:numFmt w:val="lowerRoman"/>
      <w:lvlText w:val="%3."/>
      <w:lvlJc w:val="right"/>
      <w:pPr>
        <w:ind w:left="2160" w:hanging="180"/>
      </w:pPr>
    </w:lvl>
    <w:lvl w:ilvl="3" w:tplc="A4DE579C" w:tentative="1">
      <w:start w:val="1"/>
      <w:numFmt w:val="decimal"/>
      <w:lvlText w:val="%4."/>
      <w:lvlJc w:val="left"/>
      <w:pPr>
        <w:ind w:left="2880" w:hanging="360"/>
      </w:pPr>
    </w:lvl>
    <w:lvl w:ilvl="4" w:tplc="4E5462EA" w:tentative="1">
      <w:start w:val="1"/>
      <w:numFmt w:val="lowerLetter"/>
      <w:lvlText w:val="%5."/>
      <w:lvlJc w:val="left"/>
      <w:pPr>
        <w:ind w:left="3600" w:hanging="360"/>
      </w:pPr>
    </w:lvl>
    <w:lvl w:ilvl="5" w:tplc="1CD6A02A" w:tentative="1">
      <w:start w:val="1"/>
      <w:numFmt w:val="lowerRoman"/>
      <w:lvlText w:val="%6."/>
      <w:lvlJc w:val="right"/>
      <w:pPr>
        <w:ind w:left="4320" w:hanging="180"/>
      </w:pPr>
    </w:lvl>
    <w:lvl w:ilvl="6" w:tplc="01C2E888" w:tentative="1">
      <w:start w:val="1"/>
      <w:numFmt w:val="decimal"/>
      <w:lvlText w:val="%7."/>
      <w:lvlJc w:val="left"/>
      <w:pPr>
        <w:ind w:left="5040" w:hanging="360"/>
      </w:pPr>
    </w:lvl>
    <w:lvl w:ilvl="7" w:tplc="600ACAC8" w:tentative="1">
      <w:start w:val="1"/>
      <w:numFmt w:val="lowerLetter"/>
      <w:lvlText w:val="%8."/>
      <w:lvlJc w:val="left"/>
      <w:pPr>
        <w:ind w:left="5760" w:hanging="360"/>
      </w:pPr>
    </w:lvl>
    <w:lvl w:ilvl="8" w:tplc="18221E2E" w:tentative="1">
      <w:start w:val="1"/>
      <w:numFmt w:val="lowerRoman"/>
      <w:lvlText w:val="%9."/>
      <w:lvlJc w:val="right"/>
      <w:pPr>
        <w:ind w:left="6480" w:hanging="180"/>
      </w:pPr>
    </w:lvl>
  </w:abstractNum>
  <w:abstractNum w:abstractNumId="21" w15:restartNumberingAfterBreak="0">
    <w:nsid w:val="69856106"/>
    <w:multiLevelType w:val="hybridMultilevel"/>
    <w:tmpl w:val="53067F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C76F63"/>
    <w:multiLevelType w:val="hybridMultilevel"/>
    <w:tmpl w:val="EA6A860C"/>
    <w:lvl w:ilvl="0" w:tplc="020E380A">
      <w:start w:val="1"/>
      <w:numFmt w:val="bullet"/>
      <w:lvlText w:val="o"/>
      <w:lvlJc w:val="left"/>
      <w:pPr>
        <w:ind w:left="720" w:hanging="360"/>
      </w:pPr>
      <w:rPr>
        <w:rFonts w:ascii="Courier New" w:hAnsi="Courier New" w:cs="Courier New" w:hint="default"/>
      </w:rPr>
    </w:lvl>
    <w:lvl w:ilvl="1" w:tplc="3EC8FED4" w:tentative="1">
      <w:start w:val="1"/>
      <w:numFmt w:val="bullet"/>
      <w:lvlText w:val="o"/>
      <w:lvlJc w:val="left"/>
      <w:pPr>
        <w:ind w:left="1440" w:hanging="360"/>
      </w:pPr>
      <w:rPr>
        <w:rFonts w:ascii="Courier New" w:hAnsi="Courier New" w:cs="Courier New" w:hint="default"/>
      </w:rPr>
    </w:lvl>
    <w:lvl w:ilvl="2" w:tplc="930A6360" w:tentative="1">
      <w:start w:val="1"/>
      <w:numFmt w:val="bullet"/>
      <w:lvlText w:val=""/>
      <w:lvlJc w:val="left"/>
      <w:pPr>
        <w:ind w:left="2160" w:hanging="360"/>
      </w:pPr>
      <w:rPr>
        <w:rFonts w:ascii="Wingdings" w:hAnsi="Wingdings" w:hint="default"/>
      </w:rPr>
    </w:lvl>
    <w:lvl w:ilvl="3" w:tplc="D6E49736" w:tentative="1">
      <w:start w:val="1"/>
      <w:numFmt w:val="bullet"/>
      <w:lvlText w:val=""/>
      <w:lvlJc w:val="left"/>
      <w:pPr>
        <w:ind w:left="2880" w:hanging="360"/>
      </w:pPr>
      <w:rPr>
        <w:rFonts w:ascii="Symbol" w:hAnsi="Symbol" w:hint="default"/>
      </w:rPr>
    </w:lvl>
    <w:lvl w:ilvl="4" w:tplc="5C50DAE4" w:tentative="1">
      <w:start w:val="1"/>
      <w:numFmt w:val="bullet"/>
      <w:lvlText w:val="o"/>
      <w:lvlJc w:val="left"/>
      <w:pPr>
        <w:ind w:left="3600" w:hanging="360"/>
      </w:pPr>
      <w:rPr>
        <w:rFonts w:ascii="Courier New" w:hAnsi="Courier New" w:cs="Courier New" w:hint="default"/>
      </w:rPr>
    </w:lvl>
    <w:lvl w:ilvl="5" w:tplc="E32E00EC" w:tentative="1">
      <w:start w:val="1"/>
      <w:numFmt w:val="bullet"/>
      <w:lvlText w:val=""/>
      <w:lvlJc w:val="left"/>
      <w:pPr>
        <w:ind w:left="4320" w:hanging="360"/>
      </w:pPr>
      <w:rPr>
        <w:rFonts w:ascii="Wingdings" w:hAnsi="Wingdings" w:hint="default"/>
      </w:rPr>
    </w:lvl>
    <w:lvl w:ilvl="6" w:tplc="C8C0E28E" w:tentative="1">
      <w:start w:val="1"/>
      <w:numFmt w:val="bullet"/>
      <w:lvlText w:val=""/>
      <w:lvlJc w:val="left"/>
      <w:pPr>
        <w:ind w:left="5040" w:hanging="360"/>
      </w:pPr>
      <w:rPr>
        <w:rFonts w:ascii="Symbol" w:hAnsi="Symbol" w:hint="default"/>
      </w:rPr>
    </w:lvl>
    <w:lvl w:ilvl="7" w:tplc="E7289EB4" w:tentative="1">
      <w:start w:val="1"/>
      <w:numFmt w:val="bullet"/>
      <w:lvlText w:val="o"/>
      <w:lvlJc w:val="left"/>
      <w:pPr>
        <w:ind w:left="5760" w:hanging="360"/>
      </w:pPr>
      <w:rPr>
        <w:rFonts w:ascii="Courier New" w:hAnsi="Courier New" w:cs="Courier New" w:hint="default"/>
      </w:rPr>
    </w:lvl>
    <w:lvl w:ilvl="8" w:tplc="0CD45FEC" w:tentative="1">
      <w:start w:val="1"/>
      <w:numFmt w:val="bullet"/>
      <w:lvlText w:val=""/>
      <w:lvlJc w:val="left"/>
      <w:pPr>
        <w:ind w:left="6480" w:hanging="360"/>
      </w:pPr>
      <w:rPr>
        <w:rFonts w:ascii="Wingdings" w:hAnsi="Wingdings" w:hint="default"/>
      </w:rPr>
    </w:lvl>
  </w:abstractNum>
  <w:abstractNum w:abstractNumId="23" w15:restartNumberingAfterBreak="0">
    <w:nsid w:val="775006E2"/>
    <w:multiLevelType w:val="hybridMultilevel"/>
    <w:tmpl w:val="81B0A066"/>
    <w:lvl w:ilvl="0" w:tplc="3D007E5C">
      <w:start w:val="1"/>
      <w:numFmt w:val="bullet"/>
      <w:lvlText w:val="o"/>
      <w:lvlJc w:val="left"/>
      <w:pPr>
        <w:ind w:left="720" w:hanging="360"/>
      </w:pPr>
      <w:rPr>
        <w:rFonts w:ascii="Courier New" w:hAnsi="Courier New" w:cs="Courier New" w:hint="default"/>
      </w:rPr>
    </w:lvl>
    <w:lvl w:ilvl="1" w:tplc="36629D24" w:tentative="1">
      <w:start w:val="1"/>
      <w:numFmt w:val="bullet"/>
      <w:lvlText w:val="o"/>
      <w:lvlJc w:val="left"/>
      <w:pPr>
        <w:ind w:left="1440" w:hanging="360"/>
      </w:pPr>
      <w:rPr>
        <w:rFonts w:ascii="Courier New" w:hAnsi="Courier New" w:cs="Courier New" w:hint="default"/>
      </w:rPr>
    </w:lvl>
    <w:lvl w:ilvl="2" w:tplc="EC1236C4" w:tentative="1">
      <w:start w:val="1"/>
      <w:numFmt w:val="bullet"/>
      <w:lvlText w:val=""/>
      <w:lvlJc w:val="left"/>
      <w:pPr>
        <w:ind w:left="2160" w:hanging="360"/>
      </w:pPr>
      <w:rPr>
        <w:rFonts w:ascii="Wingdings" w:hAnsi="Wingdings" w:hint="default"/>
      </w:rPr>
    </w:lvl>
    <w:lvl w:ilvl="3" w:tplc="870EB738" w:tentative="1">
      <w:start w:val="1"/>
      <w:numFmt w:val="bullet"/>
      <w:lvlText w:val=""/>
      <w:lvlJc w:val="left"/>
      <w:pPr>
        <w:ind w:left="2880" w:hanging="360"/>
      </w:pPr>
      <w:rPr>
        <w:rFonts w:ascii="Symbol" w:hAnsi="Symbol" w:hint="default"/>
      </w:rPr>
    </w:lvl>
    <w:lvl w:ilvl="4" w:tplc="56AC6A04" w:tentative="1">
      <w:start w:val="1"/>
      <w:numFmt w:val="bullet"/>
      <w:lvlText w:val="o"/>
      <w:lvlJc w:val="left"/>
      <w:pPr>
        <w:ind w:left="3600" w:hanging="360"/>
      </w:pPr>
      <w:rPr>
        <w:rFonts w:ascii="Courier New" w:hAnsi="Courier New" w:cs="Courier New" w:hint="default"/>
      </w:rPr>
    </w:lvl>
    <w:lvl w:ilvl="5" w:tplc="9B4640D0" w:tentative="1">
      <w:start w:val="1"/>
      <w:numFmt w:val="bullet"/>
      <w:lvlText w:val=""/>
      <w:lvlJc w:val="left"/>
      <w:pPr>
        <w:ind w:left="4320" w:hanging="360"/>
      </w:pPr>
      <w:rPr>
        <w:rFonts w:ascii="Wingdings" w:hAnsi="Wingdings" w:hint="default"/>
      </w:rPr>
    </w:lvl>
    <w:lvl w:ilvl="6" w:tplc="FF40BCE6" w:tentative="1">
      <w:start w:val="1"/>
      <w:numFmt w:val="bullet"/>
      <w:lvlText w:val=""/>
      <w:lvlJc w:val="left"/>
      <w:pPr>
        <w:ind w:left="5040" w:hanging="360"/>
      </w:pPr>
      <w:rPr>
        <w:rFonts w:ascii="Symbol" w:hAnsi="Symbol" w:hint="default"/>
      </w:rPr>
    </w:lvl>
    <w:lvl w:ilvl="7" w:tplc="685AB028" w:tentative="1">
      <w:start w:val="1"/>
      <w:numFmt w:val="bullet"/>
      <w:lvlText w:val="o"/>
      <w:lvlJc w:val="left"/>
      <w:pPr>
        <w:ind w:left="5760" w:hanging="360"/>
      </w:pPr>
      <w:rPr>
        <w:rFonts w:ascii="Courier New" w:hAnsi="Courier New" w:cs="Courier New" w:hint="default"/>
      </w:rPr>
    </w:lvl>
    <w:lvl w:ilvl="8" w:tplc="60D68E4A" w:tentative="1">
      <w:start w:val="1"/>
      <w:numFmt w:val="bullet"/>
      <w:lvlText w:val=""/>
      <w:lvlJc w:val="left"/>
      <w:pPr>
        <w:ind w:left="6480" w:hanging="360"/>
      </w:pPr>
      <w:rPr>
        <w:rFonts w:ascii="Wingdings" w:hAnsi="Wingdings" w:hint="default"/>
      </w:rPr>
    </w:lvl>
  </w:abstractNum>
  <w:abstractNum w:abstractNumId="24" w15:restartNumberingAfterBreak="0">
    <w:nsid w:val="7EA42ED2"/>
    <w:multiLevelType w:val="hybridMultilevel"/>
    <w:tmpl w:val="43103AA6"/>
    <w:lvl w:ilvl="0" w:tplc="F0FCABA0">
      <w:start w:val="1"/>
      <w:numFmt w:val="bullet"/>
      <w:lvlText w:val=""/>
      <w:lvlJc w:val="left"/>
      <w:pPr>
        <w:ind w:left="720" w:hanging="360"/>
      </w:pPr>
      <w:rPr>
        <w:rFonts w:ascii="Symbol" w:hAnsi="Symbol" w:hint="default"/>
      </w:rPr>
    </w:lvl>
    <w:lvl w:ilvl="1" w:tplc="B68E110E" w:tentative="1">
      <w:start w:val="1"/>
      <w:numFmt w:val="bullet"/>
      <w:lvlText w:val="o"/>
      <w:lvlJc w:val="left"/>
      <w:pPr>
        <w:ind w:left="1440" w:hanging="360"/>
      </w:pPr>
      <w:rPr>
        <w:rFonts w:ascii="Courier New" w:hAnsi="Courier New" w:cs="Courier New" w:hint="default"/>
      </w:rPr>
    </w:lvl>
    <w:lvl w:ilvl="2" w:tplc="9F5C27B6" w:tentative="1">
      <w:start w:val="1"/>
      <w:numFmt w:val="bullet"/>
      <w:lvlText w:val=""/>
      <w:lvlJc w:val="left"/>
      <w:pPr>
        <w:ind w:left="2160" w:hanging="360"/>
      </w:pPr>
      <w:rPr>
        <w:rFonts w:ascii="Wingdings" w:hAnsi="Wingdings" w:hint="default"/>
      </w:rPr>
    </w:lvl>
    <w:lvl w:ilvl="3" w:tplc="B3289228" w:tentative="1">
      <w:start w:val="1"/>
      <w:numFmt w:val="bullet"/>
      <w:lvlText w:val=""/>
      <w:lvlJc w:val="left"/>
      <w:pPr>
        <w:ind w:left="2880" w:hanging="360"/>
      </w:pPr>
      <w:rPr>
        <w:rFonts w:ascii="Symbol" w:hAnsi="Symbol" w:hint="default"/>
      </w:rPr>
    </w:lvl>
    <w:lvl w:ilvl="4" w:tplc="A5DA46BA" w:tentative="1">
      <w:start w:val="1"/>
      <w:numFmt w:val="bullet"/>
      <w:lvlText w:val="o"/>
      <w:lvlJc w:val="left"/>
      <w:pPr>
        <w:ind w:left="3600" w:hanging="360"/>
      </w:pPr>
      <w:rPr>
        <w:rFonts w:ascii="Courier New" w:hAnsi="Courier New" w:cs="Courier New" w:hint="default"/>
      </w:rPr>
    </w:lvl>
    <w:lvl w:ilvl="5" w:tplc="C8388A60" w:tentative="1">
      <w:start w:val="1"/>
      <w:numFmt w:val="bullet"/>
      <w:lvlText w:val=""/>
      <w:lvlJc w:val="left"/>
      <w:pPr>
        <w:ind w:left="4320" w:hanging="360"/>
      </w:pPr>
      <w:rPr>
        <w:rFonts w:ascii="Wingdings" w:hAnsi="Wingdings" w:hint="default"/>
      </w:rPr>
    </w:lvl>
    <w:lvl w:ilvl="6" w:tplc="E9E80E1A" w:tentative="1">
      <w:start w:val="1"/>
      <w:numFmt w:val="bullet"/>
      <w:lvlText w:val=""/>
      <w:lvlJc w:val="left"/>
      <w:pPr>
        <w:ind w:left="5040" w:hanging="360"/>
      </w:pPr>
      <w:rPr>
        <w:rFonts w:ascii="Symbol" w:hAnsi="Symbol" w:hint="default"/>
      </w:rPr>
    </w:lvl>
    <w:lvl w:ilvl="7" w:tplc="49F6EF60" w:tentative="1">
      <w:start w:val="1"/>
      <w:numFmt w:val="bullet"/>
      <w:lvlText w:val="o"/>
      <w:lvlJc w:val="left"/>
      <w:pPr>
        <w:ind w:left="5760" w:hanging="360"/>
      </w:pPr>
      <w:rPr>
        <w:rFonts w:ascii="Courier New" w:hAnsi="Courier New" w:cs="Courier New" w:hint="default"/>
      </w:rPr>
    </w:lvl>
    <w:lvl w:ilvl="8" w:tplc="FF7283FE" w:tentative="1">
      <w:start w:val="1"/>
      <w:numFmt w:val="bullet"/>
      <w:lvlText w:val=""/>
      <w:lvlJc w:val="left"/>
      <w:pPr>
        <w:ind w:left="6480" w:hanging="360"/>
      </w:pPr>
      <w:rPr>
        <w:rFonts w:ascii="Wingdings" w:hAnsi="Wingdings" w:hint="default"/>
      </w:rPr>
    </w:lvl>
  </w:abstractNum>
  <w:num w:numId="1" w16cid:durableId="24404784">
    <w:abstractNumId w:val="16"/>
  </w:num>
  <w:num w:numId="2" w16cid:durableId="151680743">
    <w:abstractNumId w:val="22"/>
  </w:num>
  <w:num w:numId="3" w16cid:durableId="1995182715">
    <w:abstractNumId w:val="23"/>
  </w:num>
  <w:num w:numId="4" w16cid:durableId="1981303950">
    <w:abstractNumId w:val="10"/>
  </w:num>
  <w:num w:numId="5" w16cid:durableId="877736949">
    <w:abstractNumId w:val="20"/>
  </w:num>
  <w:num w:numId="6" w16cid:durableId="1762411810">
    <w:abstractNumId w:val="3"/>
  </w:num>
  <w:num w:numId="7" w16cid:durableId="2111966107">
    <w:abstractNumId w:val="24"/>
  </w:num>
  <w:num w:numId="8" w16cid:durableId="1297301078">
    <w:abstractNumId w:val="1"/>
  </w:num>
  <w:num w:numId="9" w16cid:durableId="807236495">
    <w:abstractNumId w:val="7"/>
  </w:num>
  <w:num w:numId="10" w16cid:durableId="1441223162">
    <w:abstractNumId w:val="18"/>
  </w:num>
  <w:num w:numId="11" w16cid:durableId="763650738">
    <w:abstractNumId w:val="17"/>
  </w:num>
  <w:num w:numId="12" w16cid:durableId="1928953592">
    <w:abstractNumId w:val="2"/>
  </w:num>
  <w:num w:numId="13" w16cid:durableId="1223448932">
    <w:abstractNumId w:val="9"/>
  </w:num>
  <w:num w:numId="14" w16cid:durableId="32971972">
    <w:abstractNumId w:val="13"/>
  </w:num>
  <w:num w:numId="15" w16cid:durableId="1080449304">
    <w:abstractNumId w:val="4"/>
  </w:num>
  <w:num w:numId="16" w16cid:durableId="2039575052">
    <w:abstractNumId w:val="6"/>
  </w:num>
  <w:num w:numId="17" w16cid:durableId="759374151">
    <w:abstractNumId w:val="14"/>
  </w:num>
  <w:num w:numId="18" w16cid:durableId="1984583644">
    <w:abstractNumId w:val="5"/>
  </w:num>
  <w:num w:numId="19" w16cid:durableId="725566427">
    <w:abstractNumId w:val="8"/>
  </w:num>
  <w:num w:numId="20" w16cid:durableId="964894589">
    <w:abstractNumId w:val="0"/>
  </w:num>
  <w:num w:numId="21" w16cid:durableId="31654587">
    <w:abstractNumId w:val="19"/>
  </w:num>
  <w:num w:numId="22" w16cid:durableId="369182498">
    <w:abstractNumId w:val="11"/>
  </w:num>
  <w:num w:numId="23" w16cid:durableId="1882550854">
    <w:abstractNumId w:val="21"/>
  </w:num>
  <w:num w:numId="24" w16cid:durableId="934753385">
    <w:abstractNumId w:val="12"/>
  </w:num>
  <w:num w:numId="25" w16cid:durableId="6011832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f2e0xz2v920ke00srpf2wb09rrsfweffax&quot;&gt;ANZG_CuZn-Converted&lt;record-ids&gt;&lt;item&gt;3931&lt;/item&gt;&lt;item&gt;3932&lt;/item&gt;&lt;item&gt;3933&lt;/item&gt;&lt;/record-ids&gt;&lt;/item&gt;&lt;/Libraries&gt;"/>
  </w:docVars>
  <w:rsids>
    <w:rsidRoot w:val="004040B5"/>
    <w:rsid w:val="000027DC"/>
    <w:rsid w:val="000039A5"/>
    <w:rsid w:val="00004044"/>
    <w:rsid w:val="000050AC"/>
    <w:rsid w:val="00005C8E"/>
    <w:rsid w:val="00013507"/>
    <w:rsid w:val="00017733"/>
    <w:rsid w:val="00022CF2"/>
    <w:rsid w:val="00022D42"/>
    <w:rsid w:val="000231E0"/>
    <w:rsid w:val="000238D3"/>
    <w:rsid w:val="0002404B"/>
    <w:rsid w:val="00027012"/>
    <w:rsid w:val="00033637"/>
    <w:rsid w:val="000420E1"/>
    <w:rsid w:val="000439E6"/>
    <w:rsid w:val="00044D37"/>
    <w:rsid w:val="00077691"/>
    <w:rsid w:val="00092B36"/>
    <w:rsid w:val="00092E5F"/>
    <w:rsid w:val="000A03FC"/>
    <w:rsid w:val="000A485B"/>
    <w:rsid w:val="000A50B1"/>
    <w:rsid w:val="000B0552"/>
    <w:rsid w:val="000B1182"/>
    <w:rsid w:val="000B403C"/>
    <w:rsid w:val="000B6F0F"/>
    <w:rsid w:val="000C04DB"/>
    <w:rsid w:val="000C1389"/>
    <w:rsid w:val="000C46FD"/>
    <w:rsid w:val="000C4743"/>
    <w:rsid w:val="000C4A49"/>
    <w:rsid w:val="000D0B5A"/>
    <w:rsid w:val="000D7819"/>
    <w:rsid w:val="000F1627"/>
    <w:rsid w:val="000F27C3"/>
    <w:rsid w:val="000F33B0"/>
    <w:rsid w:val="001010FD"/>
    <w:rsid w:val="001055AF"/>
    <w:rsid w:val="0011189A"/>
    <w:rsid w:val="001259B2"/>
    <w:rsid w:val="00125C2A"/>
    <w:rsid w:val="00132693"/>
    <w:rsid w:val="00140E24"/>
    <w:rsid w:val="001465C2"/>
    <w:rsid w:val="00150A81"/>
    <w:rsid w:val="00156758"/>
    <w:rsid w:val="00156771"/>
    <w:rsid w:val="001579F6"/>
    <w:rsid w:val="00157B98"/>
    <w:rsid w:val="00157CB0"/>
    <w:rsid w:val="00172CC7"/>
    <w:rsid w:val="00173736"/>
    <w:rsid w:val="00174DBA"/>
    <w:rsid w:val="001839E7"/>
    <w:rsid w:val="0019131F"/>
    <w:rsid w:val="00191916"/>
    <w:rsid w:val="001A36A5"/>
    <w:rsid w:val="001B00B9"/>
    <w:rsid w:val="001B255F"/>
    <w:rsid w:val="001B5CC3"/>
    <w:rsid w:val="001C2188"/>
    <w:rsid w:val="001D5BC6"/>
    <w:rsid w:val="001E3218"/>
    <w:rsid w:val="001E3F4B"/>
    <w:rsid w:val="001F1F1F"/>
    <w:rsid w:val="001F32FD"/>
    <w:rsid w:val="001F62F1"/>
    <w:rsid w:val="00200506"/>
    <w:rsid w:val="00202886"/>
    <w:rsid w:val="002106B0"/>
    <w:rsid w:val="00212085"/>
    <w:rsid w:val="00213926"/>
    <w:rsid w:val="002202D1"/>
    <w:rsid w:val="002237A6"/>
    <w:rsid w:val="002237BF"/>
    <w:rsid w:val="002262C5"/>
    <w:rsid w:val="00233976"/>
    <w:rsid w:val="002427BA"/>
    <w:rsid w:val="00243B3A"/>
    <w:rsid w:val="0025059D"/>
    <w:rsid w:val="00255587"/>
    <w:rsid w:val="002611D2"/>
    <w:rsid w:val="002613DB"/>
    <w:rsid w:val="00262FAD"/>
    <w:rsid w:val="002665F1"/>
    <w:rsid w:val="00267527"/>
    <w:rsid w:val="00270706"/>
    <w:rsid w:val="00275297"/>
    <w:rsid w:val="00276B6B"/>
    <w:rsid w:val="0028006E"/>
    <w:rsid w:val="00286FB6"/>
    <w:rsid w:val="00290B49"/>
    <w:rsid w:val="00293B55"/>
    <w:rsid w:val="00294776"/>
    <w:rsid w:val="00297B69"/>
    <w:rsid w:val="002A0902"/>
    <w:rsid w:val="002A0DF9"/>
    <w:rsid w:val="002A3F3F"/>
    <w:rsid w:val="002A64FE"/>
    <w:rsid w:val="002B1E0A"/>
    <w:rsid w:val="002B2E15"/>
    <w:rsid w:val="002B74F5"/>
    <w:rsid w:val="002C4677"/>
    <w:rsid w:val="002C4D4A"/>
    <w:rsid w:val="002C6A5E"/>
    <w:rsid w:val="002D15FA"/>
    <w:rsid w:val="002D2D2A"/>
    <w:rsid w:val="002D3F4D"/>
    <w:rsid w:val="002D7154"/>
    <w:rsid w:val="002E0905"/>
    <w:rsid w:val="002F3179"/>
    <w:rsid w:val="002F6C32"/>
    <w:rsid w:val="00304861"/>
    <w:rsid w:val="00320259"/>
    <w:rsid w:val="00320F2B"/>
    <w:rsid w:val="00321C75"/>
    <w:rsid w:val="003257A3"/>
    <w:rsid w:val="00326A99"/>
    <w:rsid w:val="00331AD7"/>
    <w:rsid w:val="00336C41"/>
    <w:rsid w:val="003377B0"/>
    <w:rsid w:val="00342C91"/>
    <w:rsid w:val="003472F0"/>
    <w:rsid w:val="00377EF6"/>
    <w:rsid w:val="003810B7"/>
    <w:rsid w:val="00381F2D"/>
    <w:rsid w:val="003855FC"/>
    <w:rsid w:val="00385E06"/>
    <w:rsid w:val="00392AC8"/>
    <w:rsid w:val="00393B90"/>
    <w:rsid w:val="00397196"/>
    <w:rsid w:val="003A6257"/>
    <w:rsid w:val="003A74DF"/>
    <w:rsid w:val="003C299A"/>
    <w:rsid w:val="003C513E"/>
    <w:rsid w:val="003D0E03"/>
    <w:rsid w:val="003D5E82"/>
    <w:rsid w:val="003E0B48"/>
    <w:rsid w:val="003E3611"/>
    <w:rsid w:val="003F3D99"/>
    <w:rsid w:val="003F43E4"/>
    <w:rsid w:val="003F46D6"/>
    <w:rsid w:val="003F7FB9"/>
    <w:rsid w:val="00401BF1"/>
    <w:rsid w:val="00401EF3"/>
    <w:rsid w:val="004036EE"/>
    <w:rsid w:val="004040B5"/>
    <w:rsid w:val="004042C3"/>
    <w:rsid w:val="004118C5"/>
    <w:rsid w:val="004141CB"/>
    <w:rsid w:val="004150AC"/>
    <w:rsid w:val="0041651A"/>
    <w:rsid w:val="00417B89"/>
    <w:rsid w:val="00420A8C"/>
    <w:rsid w:val="004216D4"/>
    <w:rsid w:val="00432A73"/>
    <w:rsid w:val="004347A7"/>
    <w:rsid w:val="004373FB"/>
    <w:rsid w:val="00442215"/>
    <w:rsid w:val="004435E1"/>
    <w:rsid w:val="00444294"/>
    <w:rsid w:val="004468C5"/>
    <w:rsid w:val="004553F4"/>
    <w:rsid w:val="004578C7"/>
    <w:rsid w:val="004671DC"/>
    <w:rsid w:val="00477BE9"/>
    <w:rsid w:val="004800C9"/>
    <w:rsid w:val="004862B1"/>
    <w:rsid w:val="00491BDD"/>
    <w:rsid w:val="00492711"/>
    <w:rsid w:val="0049794F"/>
    <w:rsid w:val="004A4352"/>
    <w:rsid w:val="004A57D6"/>
    <w:rsid w:val="004A7EDD"/>
    <w:rsid w:val="004B7368"/>
    <w:rsid w:val="004C3FF0"/>
    <w:rsid w:val="004D0515"/>
    <w:rsid w:val="004E1E47"/>
    <w:rsid w:val="004E238F"/>
    <w:rsid w:val="004E38F6"/>
    <w:rsid w:val="004E40C3"/>
    <w:rsid w:val="004E6A7F"/>
    <w:rsid w:val="004F4838"/>
    <w:rsid w:val="00500843"/>
    <w:rsid w:val="00503ED1"/>
    <w:rsid w:val="0051239F"/>
    <w:rsid w:val="0051627F"/>
    <w:rsid w:val="00516C0C"/>
    <w:rsid w:val="00523EDE"/>
    <w:rsid w:val="00524363"/>
    <w:rsid w:val="00531898"/>
    <w:rsid w:val="00533B0A"/>
    <w:rsid w:val="005371BC"/>
    <w:rsid w:val="00537C69"/>
    <w:rsid w:val="00542EE9"/>
    <w:rsid w:val="00554964"/>
    <w:rsid w:val="005560FD"/>
    <w:rsid w:val="00563B26"/>
    <w:rsid w:val="005734AA"/>
    <w:rsid w:val="00582CD4"/>
    <w:rsid w:val="00585BF8"/>
    <w:rsid w:val="00587808"/>
    <w:rsid w:val="005903FE"/>
    <w:rsid w:val="005917AD"/>
    <w:rsid w:val="005A63B7"/>
    <w:rsid w:val="005B2BE6"/>
    <w:rsid w:val="005B6710"/>
    <w:rsid w:val="005C4517"/>
    <w:rsid w:val="005D3409"/>
    <w:rsid w:val="005E1C22"/>
    <w:rsid w:val="005E2CDF"/>
    <w:rsid w:val="005F08DF"/>
    <w:rsid w:val="005F17F3"/>
    <w:rsid w:val="005F5B20"/>
    <w:rsid w:val="00603DB9"/>
    <w:rsid w:val="00606BF9"/>
    <w:rsid w:val="00616338"/>
    <w:rsid w:val="0062020B"/>
    <w:rsid w:val="00623E81"/>
    <w:rsid w:val="00624D50"/>
    <w:rsid w:val="0062625F"/>
    <w:rsid w:val="00627604"/>
    <w:rsid w:val="0063554E"/>
    <w:rsid w:val="0064045B"/>
    <w:rsid w:val="00641D46"/>
    <w:rsid w:val="00645972"/>
    <w:rsid w:val="006516EE"/>
    <w:rsid w:val="00661583"/>
    <w:rsid w:val="00667242"/>
    <w:rsid w:val="00675BFC"/>
    <w:rsid w:val="006766E8"/>
    <w:rsid w:val="00683A91"/>
    <w:rsid w:val="00694888"/>
    <w:rsid w:val="006A0878"/>
    <w:rsid w:val="006B7B8A"/>
    <w:rsid w:val="006C4864"/>
    <w:rsid w:val="006C49C3"/>
    <w:rsid w:val="006C50DE"/>
    <w:rsid w:val="006C5A5C"/>
    <w:rsid w:val="006D08DB"/>
    <w:rsid w:val="006D5B7E"/>
    <w:rsid w:val="006D6D24"/>
    <w:rsid w:val="006F2C72"/>
    <w:rsid w:val="006F5F2C"/>
    <w:rsid w:val="006F6C9F"/>
    <w:rsid w:val="007055AA"/>
    <w:rsid w:val="00707BC9"/>
    <w:rsid w:val="00723B30"/>
    <w:rsid w:val="0073066D"/>
    <w:rsid w:val="00737535"/>
    <w:rsid w:val="00745E31"/>
    <w:rsid w:val="00777E25"/>
    <w:rsid w:val="007913F1"/>
    <w:rsid w:val="007927D9"/>
    <w:rsid w:val="00794F7D"/>
    <w:rsid w:val="007A7221"/>
    <w:rsid w:val="007B0B6A"/>
    <w:rsid w:val="007B6507"/>
    <w:rsid w:val="007B69DA"/>
    <w:rsid w:val="007B7591"/>
    <w:rsid w:val="007C1023"/>
    <w:rsid w:val="007C2A0D"/>
    <w:rsid w:val="007D1495"/>
    <w:rsid w:val="007D74BF"/>
    <w:rsid w:val="007E12E8"/>
    <w:rsid w:val="007E1F10"/>
    <w:rsid w:val="007E7295"/>
    <w:rsid w:val="007E79E4"/>
    <w:rsid w:val="007F0861"/>
    <w:rsid w:val="007F5B04"/>
    <w:rsid w:val="007F64EA"/>
    <w:rsid w:val="007F7796"/>
    <w:rsid w:val="00810836"/>
    <w:rsid w:val="00812C44"/>
    <w:rsid w:val="0081552A"/>
    <w:rsid w:val="00820CBC"/>
    <w:rsid w:val="00824E16"/>
    <w:rsid w:val="00826EA5"/>
    <w:rsid w:val="00827A54"/>
    <w:rsid w:val="00833FFD"/>
    <w:rsid w:val="00840195"/>
    <w:rsid w:val="00841448"/>
    <w:rsid w:val="0084164A"/>
    <w:rsid w:val="00841EF7"/>
    <w:rsid w:val="00856532"/>
    <w:rsid w:val="00864C9B"/>
    <w:rsid w:val="00866E74"/>
    <w:rsid w:val="00871CA7"/>
    <w:rsid w:val="008721F8"/>
    <w:rsid w:val="00873423"/>
    <w:rsid w:val="00873C09"/>
    <w:rsid w:val="00873C52"/>
    <w:rsid w:val="00876E7E"/>
    <w:rsid w:val="00880425"/>
    <w:rsid w:val="008824B1"/>
    <w:rsid w:val="00885DC1"/>
    <w:rsid w:val="008922F4"/>
    <w:rsid w:val="008A5AC2"/>
    <w:rsid w:val="008B323E"/>
    <w:rsid w:val="008B3FB1"/>
    <w:rsid w:val="008B48DF"/>
    <w:rsid w:val="008B4A9D"/>
    <w:rsid w:val="008C11DF"/>
    <w:rsid w:val="008C7D6C"/>
    <w:rsid w:val="008E3A35"/>
    <w:rsid w:val="008E55BE"/>
    <w:rsid w:val="008F1A98"/>
    <w:rsid w:val="008F3B0B"/>
    <w:rsid w:val="009040C0"/>
    <w:rsid w:val="009062DA"/>
    <w:rsid w:val="00906333"/>
    <w:rsid w:val="0090741D"/>
    <w:rsid w:val="009300EB"/>
    <w:rsid w:val="00931738"/>
    <w:rsid w:val="00937F32"/>
    <w:rsid w:val="0094030B"/>
    <w:rsid w:val="009404FF"/>
    <w:rsid w:val="009405B2"/>
    <w:rsid w:val="00967130"/>
    <w:rsid w:val="009747AF"/>
    <w:rsid w:val="009750D0"/>
    <w:rsid w:val="00976F85"/>
    <w:rsid w:val="009A569F"/>
    <w:rsid w:val="009B0E1E"/>
    <w:rsid w:val="009B1441"/>
    <w:rsid w:val="009D20A7"/>
    <w:rsid w:val="009F2070"/>
    <w:rsid w:val="00A00A65"/>
    <w:rsid w:val="00A10387"/>
    <w:rsid w:val="00A11F05"/>
    <w:rsid w:val="00A161EE"/>
    <w:rsid w:val="00A17D96"/>
    <w:rsid w:val="00A20D38"/>
    <w:rsid w:val="00A25540"/>
    <w:rsid w:val="00A300E1"/>
    <w:rsid w:val="00A30181"/>
    <w:rsid w:val="00A335E7"/>
    <w:rsid w:val="00A3640A"/>
    <w:rsid w:val="00A36C90"/>
    <w:rsid w:val="00A37DE1"/>
    <w:rsid w:val="00A37F4B"/>
    <w:rsid w:val="00A44A55"/>
    <w:rsid w:val="00A45402"/>
    <w:rsid w:val="00A5406F"/>
    <w:rsid w:val="00A55C54"/>
    <w:rsid w:val="00A57251"/>
    <w:rsid w:val="00A60014"/>
    <w:rsid w:val="00A6442E"/>
    <w:rsid w:val="00A64F4A"/>
    <w:rsid w:val="00A775B3"/>
    <w:rsid w:val="00A84617"/>
    <w:rsid w:val="00A86513"/>
    <w:rsid w:val="00A86C68"/>
    <w:rsid w:val="00A92FB3"/>
    <w:rsid w:val="00AA157B"/>
    <w:rsid w:val="00AA3367"/>
    <w:rsid w:val="00AB2C54"/>
    <w:rsid w:val="00AC33FB"/>
    <w:rsid w:val="00AD184E"/>
    <w:rsid w:val="00AD2019"/>
    <w:rsid w:val="00AD327E"/>
    <w:rsid w:val="00AD441C"/>
    <w:rsid w:val="00AD74A3"/>
    <w:rsid w:val="00AE0B10"/>
    <w:rsid w:val="00AE2CB5"/>
    <w:rsid w:val="00AE34A5"/>
    <w:rsid w:val="00AE5C91"/>
    <w:rsid w:val="00AE739B"/>
    <w:rsid w:val="00AE7477"/>
    <w:rsid w:val="00AF11E2"/>
    <w:rsid w:val="00AF5656"/>
    <w:rsid w:val="00B01858"/>
    <w:rsid w:val="00B117E9"/>
    <w:rsid w:val="00B2382D"/>
    <w:rsid w:val="00B27BCA"/>
    <w:rsid w:val="00B31B88"/>
    <w:rsid w:val="00B32DCD"/>
    <w:rsid w:val="00B36CE5"/>
    <w:rsid w:val="00B55FF2"/>
    <w:rsid w:val="00B61F41"/>
    <w:rsid w:val="00B745B2"/>
    <w:rsid w:val="00B81808"/>
    <w:rsid w:val="00B86241"/>
    <w:rsid w:val="00B86473"/>
    <w:rsid w:val="00B9799C"/>
    <w:rsid w:val="00BA13C0"/>
    <w:rsid w:val="00BA7E30"/>
    <w:rsid w:val="00BB1487"/>
    <w:rsid w:val="00BB33D3"/>
    <w:rsid w:val="00BB455A"/>
    <w:rsid w:val="00BB612C"/>
    <w:rsid w:val="00BB6391"/>
    <w:rsid w:val="00BC2BDB"/>
    <w:rsid w:val="00BC4E57"/>
    <w:rsid w:val="00BD580D"/>
    <w:rsid w:val="00BD6C0C"/>
    <w:rsid w:val="00BE159E"/>
    <w:rsid w:val="00BE58CA"/>
    <w:rsid w:val="00BE7C10"/>
    <w:rsid w:val="00C03D47"/>
    <w:rsid w:val="00C119F6"/>
    <w:rsid w:val="00C16FD4"/>
    <w:rsid w:val="00C24FD0"/>
    <w:rsid w:val="00C318F5"/>
    <w:rsid w:val="00C35A77"/>
    <w:rsid w:val="00C35D00"/>
    <w:rsid w:val="00C51244"/>
    <w:rsid w:val="00C6092D"/>
    <w:rsid w:val="00C6533F"/>
    <w:rsid w:val="00C67039"/>
    <w:rsid w:val="00C67810"/>
    <w:rsid w:val="00C777ED"/>
    <w:rsid w:val="00C83AEF"/>
    <w:rsid w:val="00C91624"/>
    <w:rsid w:val="00C93289"/>
    <w:rsid w:val="00C94AA9"/>
    <w:rsid w:val="00C9573A"/>
    <w:rsid w:val="00CA45C2"/>
    <w:rsid w:val="00CA462B"/>
    <w:rsid w:val="00CB3720"/>
    <w:rsid w:val="00CC0C2A"/>
    <w:rsid w:val="00CC1832"/>
    <w:rsid w:val="00CC32EE"/>
    <w:rsid w:val="00CD2FA9"/>
    <w:rsid w:val="00CD5C05"/>
    <w:rsid w:val="00CD5CB1"/>
    <w:rsid w:val="00CD75F0"/>
    <w:rsid w:val="00CE24BF"/>
    <w:rsid w:val="00CF2ADF"/>
    <w:rsid w:val="00CF43F4"/>
    <w:rsid w:val="00CF6077"/>
    <w:rsid w:val="00D06D61"/>
    <w:rsid w:val="00D129A4"/>
    <w:rsid w:val="00D130CB"/>
    <w:rsid w:val="00D15AA5"/>
    <w:rsid w:val="00D17770"/>
    <w:rsid w:val="00D2072B"/>
    <w:rsid w:val="00D20895"/>
    <w:rsid w:val="00D23CB7"/>
    <w:rsid w:val="00D25B21"/>
    <w:rsid w:val="00D354D0"/>
    <w:rsid w:val="00D47CB9"/>
    <w:rsid w:val="00D56332"/>
    <w:rsid w:val="00D577E0"/>
    <w:rsid w:val="00D60404"/>
    <w:rsid w:val="00D62FEF"/>
    <w:rsid w:val="00D64C0D"/>
    <w:rsid w:val="00D66671"/>
    <w:rsid w:val="00D77981"/>
    <w:rsid w:val="00D80ACC"/>
    <w:rsid w:val="00D8477C"/>
    <w:rsid w:val="00D8582D"/>
    <w:rsid w:val="00D86598"/>
    <w:rsid w:val="00D95E01"/>
    <w:rsid w:val="00D9662E"/>
    <w:rsid w:val="00D9793E"/>
    <w:rsid w:val="00DA5C37"/>
    <w:rsid w:val="00DB0C00"/>
    <w:rsid w:val="00DB40FB"/>
    <w:rsid w:val="00DD45BC"/>
    <w:rsid w:val="00DD6647"/>
    <w:rsid w:val="00DE03CF"/>
    <w:rsid w:val="00DE1D08"/>
    <w:rsid w:val="00DE27A3"/>
    <w:rsid w:val="00DE2EF8"/>
    <w:rsid w:val="00DE592E"/>
    <w:rsid w:val="00DF4B76"/>
    <w:rsid w:val="00DF5CF3"/>
    <w:rsid w:val="00E01DD5"/>
    <w:rsid w:val="00E03C5E"/>
    <w:rsid w:val="00E0595F"/>
    <w:rsid w:val="00E062E6"/>
    <w:rsid w:val="00E07622"/>
    <w:rsid w:val="00E07CE3"/>
    <w:rsid w:val="00E10244"/>
    <w:rsid w:val="00E11643"/>
    <w:rsid w:val="00E11B13"/>
    <w:rsid w:val="00E15123"/>
    <w:rsid w:val="00E20B5F"/>
    <w:rsid w:val="00E277EE"/>
    <w:rsid w:val="00E303B4"/>
    <w:rsid w:val="00E34315"/>
    <w:rsid w:val="00E37859"/>
    <w:rsid w:val="00E47B7C"/>
    <w:rsid w:val="00E522BC"/>
    <w:rsid w:val="00E55DFF"/>
    <w:rsid w:val="00E62545"/>
    <w:rsid w:val="00E6545C"/>
    <w:rsid w:val="00E720C8"/>
    <w:rsid w:val="00E77684"/>
    <w:rsid w:val="00E84C20"/>
    <w:rsid w:val="00E860D4"/>
    <w:rsid w:val="00E9030E"/>
    <w:rsid w:val="00E905A0"/>
    <w:rsid w:val="00EA1504"/>
    <w:rsid w:val="00EA25EF"/>
    <w:rsid w:val="00EA3A3E"/>
    <w:rsid w:val="00EA3E3E"/>
    <w:rsid w:val="00EA69ED"/>
    <w:rsid w:val="00ED2300"/>
    <w:rsid w:val="00EE2EAD"/>
    <w:rsid w:val="00EE431E"/>
    <w:rsid w:val="00EE7CE1"/>
    <w:rsid w:val="00F018C8"/>
    <w:rsid w:val="00F138C7"/>
    <w:rsid w:val="00F1491D"/>
    <w:rsid w:val="00F32219"/>
    <w:rsid w:val="00F356BD"/>
    <w:rsid w:val="00F40782"/>
    <w:rsid w:val="00F4111F"/>
    <w:rsid w:val="00F44E91"/>
    <w:rsid w:val="00F5013E"/>
    <w:rsid w:val="00F55533"/>
    <w:rsid w:val="00F60971"/>
    <w:rsid w:val="00F621D0"/>
    <w:rsid w:val="00F82363"/>
    <w:rsid w:val="00F93C17"/>
    <w:rsid w:val="00FA6543"/>
    <w:rsid w:val="00FB0711"/>
    <w:rsid w:val="00FB3DCB"/>
    <w:rsid w:val="00FB46E1"/>
    <w:rsid w:val="00FB53FB"/>
    <w:rsid w:val="00FB6BE5"/>
    <w:rsid w:val="00FC3061"/>
    <w:rsid w:val="00FD0627"/>
    <w:rsid w:val="00FD6739"/>
    <w:rsid w:val="00FD70FD"/>
    <w:rsid w:val="00FE066F"/>
    <w:rsid w:val="00FE4F11"/>
    <w:rsid w:val="00FE772E"/>
    <w:rsid w:val="00FF3F6D"/>
    <w:rsid w:val="00FF53F9"/>
    <w:rsid w:val="00FF6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573AD"/>
  <w15:chartTrackingRefBased/>
  <w15:docId w15:val="{5508E7E9-67CC-4E10-BD53-0C114E4F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text"/>
    <w:qFormat/>
    <w:rsid w:val="004040B5"/>
    <w:pPr>
      <w:spacing w:before="120"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4040B5"/>
    <w:pPr>
      <w:keepNext/>
      <w:keepLines/>
      <w:spacing w:before="240" w:after="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rsid w:val="004040B5"/>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D20895"/>
    <w:pPr>
      <w:spacing w:before="0" w:line="280" w:lineRule="atLeast"/>
      <w:outlineLvl w:val="2"/>
    </w:pPr>
    <w:rPr>
      <w:b/>
      <w:bCs/>
      <w:sz w:val="24"/>
      <w:szCs w:val="24"/>
    </w:rPr>
  </w:style>
  <w:style w:type="paragraph" w:styleId="Heading4">
    <w:name w:val="heading 4"/>
    <w:basedOn w:val="Normal"/>
    <w:next w:val="Normal"/>
    <w:link w:val="Heading4Char"/>
    <w:uiPriority w:val="9"/>
    <w:semiHidden/>
    <w:unhideWhenUsed/>
    <w:qFormat/>
    <w:rsid w:val="00E076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0B5"/>
    <w:rPr>
      <w:rFonts w:ascii="Calibri" w:eastAsia="Times New Roman" w:hAnsi="Calibri" w:cs="Times New Roman"/>
      <w:b/>
      <w:bCs/>
      <w:color w:val="365F91"/>
      <w:sz w:val="36"/>
      <w:szCs w:val="28"/>
    </w:rPr>
  </w:style>
  <w:style w:type="character" w:customStyle="1" w:styleId="Heading2Char">
    <w:name w:val="Heading 2 Char"/>
    <w:basedOn w:val="DefaultParagraphFont"/>
    <w:link w:val="Heading2"/>
    <w:uiPriority w:val="9"/>
    <w:rsid w:val="004040B5"/>
    <w:rPr>
      <w:rFonts w:ascii="Calibri" w:eastAsia="Times New Roman" w:hAnsi="Calibri" w:cs="Times New Roman"/>
      <w:b/>
      <w:bCs/>
      <w:color w:val="4F81BD"/>
      <w:sz w:val="26"/>
      <w:szCs w:val="26"/>
    </w:rPr>
  </w:style>
  <w:style w:type="character" w:styleId="Hyperlink">
    <w:name w:val="Hyperlink"/>
    <w:basedOn w:val="DefaultParagraphFont"/>
    <w:uiPriority w:val="99"/>
    <w:rsid w:val="004040B5"/>
    <w:rPr>
      <w:color w:val="0000FF"/>
      <w:u w:val="single"/>
    </w:rPr>
  </w:style>
  <w:style w:type="character" w:styleId="Emphasis">
    <w:name w:val="Emphasis"/>
    <w:basedOn w:val="DefaultParagraphFont"/>
    <w:uiPriority w:val="20"/>
    <w:qFormat/>
    <w:rsid w:val="004040B5"/>
    <w:rPr>
      <w:i/>
      <w:iCs/>
    </w:rPr>
  </w:style>
  <w:style w:type="character" w:styleId="Strong">
    <w:name w:val="Strong"/>
    <w:basedOn w:val="DefaultParagraphFont"/>
    <w:uiPriority w:val="22"/>
    <w:qFormat/>
    <w:rsid w:val="004040B5"/>
    <w:rPr>
      <w:rFonts w:ascii="Calibri" w:hAnsi="Calibri"/>
      <w:b/>
      <w:bCs/>
      <w:sz w:val="22"/>
    </w:rPr>
  </w:style>
  <w:style w:type="paragraph" w:customStyle="1" w:styleId="Heading3bold">
    <w:name w:val="Heading 3 bold"/>
    <w:basedOn w:val="Normal"/>
    <w:qFormat/>
    <w:rsid w:val="004040B5"/>
    <w:pPr>
      <w:numPr>
        <w:numId w:val="1"/>
      </w:numPr>
      <w:tabs>
        <w:tab w:val="left" w:pos="284"/>
      </w:tabs>
      <w:ind w:left="284"/>
    </w:pPr>
    <w:rPr>
      <w:b/>
    </w:rPr>
  </w:style>
  <w:style w:type="paragraph" w:styleId="Subtitle">
    <w:name w:val="Subtitle"/>
    <w:basedOn w:val="Normal"/>
    <w:next w:val="Normal"/>
    <w:link w:val="SubtitleChar"/>
    <w:uiPriority w:val="11"/>
    <w:qFormat/>
    <w:rsid w:val="004040B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040B5"/>
    <w:rPr>
      <w:rFonts w:eastAsiaTheme="minorEastAsia"/>
      <w:color w:val="5A5A5A" w:themeColor="text1" w:themeTint="A5"/>
      <w:spacing w:val="15"/>
    </w:rPr>
  </w:style>
  <w:style w:type="paragraph" w:styleId="Header">
    <w:name w:val="header"/>
    <w:basedOn w:val="Normal"/>
    <w:link w:val="HeaderChar"/>
    <w:unhideWhenUsed/>
    <w:rsid w:val="004040B5"/>
    <w:pPr>
      <w:tabs>
        <w:tab w:val="center" w:pos="4513"/>
        <w:tab w:val="right" w:pos="9026"/>
      </w:tabs>
      <w:spacing w:before="0" w:after="0" w:line="240" w:lineRule="auto"/>
    </w:pPr>
  </w:style>
  <w:style w:type="character" w:customStyle="1" w:styleId="HeaderChar">
    <w:name w:val="Header Char"/>
    <w:basedOn w:val="DefaultParagraphFont"/>
    <w:link w:val="Header"/>
    <w:rsid w:val="004040B5"/>
    <w:rPr>
      <w:rFonts w:ascii="Calibri" w:eastAsia="Calibri" w:hAnsi="Calibri" w:cs="Times New Roman"/>
    </w:rPr>
  </w:style>
  <w:style w:type="paragraph" w:styleId="Footer">
    <w:name w:val="footer"/>
    <w:basedOn w:val="Normal"/>
    <w:link w:val="FooterChar"/>
    <w:uiPriority w:val="99"/>
    <w:unhideWhenUsed/>
    <w:rsid w:val="004040B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40B5"/>
    <w:rPr>
      <w:rFonts w:ascii="Calibri" w:eastAsia="Calibri" w:hAnsi="Calibri" w:cs="Times New Roman"/>
    </w:rPr>
  </w:style>
  <w:style w:type="character" w:customStyle="1" w:styleId="UnresolvedMention1">
    <w:name w:val="Unresolved Mention1"/>
    <w:basedOn w:val="DefaultParagraphFont"/>
    <w:uiPriority w:val="99"/>
    <w:semiHidden/>
    <w:unhideWhenUsed/>
    <w:rsid w:val="004040B5"/>
    <w:rPr>
      <w:color w:val="605E5C"/>
      <w:shd w:val="clear" w:color="auto" w:fill="E1DFDD"/>
    </w:rPr>
  </w:style>
  <w:style w:type="table" w:styleId="TableGrid">
    <w:name w:val="Table Grid"/>
    <w:basedOn w:val="TableNormal"/>
    <w:uiPriority w:val="39"/>
    <w:rsid w:val="00B2382D"/>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45B2"/>
    <w:pPr>
      <w:spacing w:before="0" w:after="0" w:line="240" w:lineRule="auto"/>
      <w:ind w:left="720"/>
      <w:contextualSpacing/>
    </w:pPr>
    <w:rPr>
      <w:rFonts w:asciiTheme="minorHAnsi" w:eastAsiaTheme="minorHAnsi" w:hAnsiTheme="minorHAnsi" w:cstheme="minorBidi"/>
      <w:sz w:val="24"/>
      <w:szCs w:val="24"/>
    </w:rPr>
  </w:style>
  <w:style w:type="character" w:customStyle="1" w:styleId="Heading3Char">
    <w:name w:val="Heading 3 Char"/>
    <w:basedOn w:val="DefaultParagraphFont"/>
    <w:link w:val="Heading3"/>
    <w:uiPriority w:val="9"/>
    <w:rsid w:val="00D20895"/>
    <w:rPr>
      <w:rFonts w:ascii="Calibri" w:eastAsia="Calibri" w:hAnsi="Calibri" w:cs="Times New Roman"/>
      <w:b/>
      <w:bCs/>
      <w:sz w:val="24"/>
      <w:szCs w:val="24"/>
    </w:rPr>
  </w:style>
  <w:style w:type="character" w:styleId="CommentReference">
    <w:name w:val="annotation reference"/>
    <w:basedOn w:val="DefaultParagraphFont"/>
    <w:uiPriority w:val="99"/>
    <w:semiHidden/>
    <w:unhideWhenUsed/>
    <w:rsid w:val="00E01DD5"/>
    <w:rPr>
      <w:sz w:val="16"/>
      <w:szCs w:val="16"/>
    </w:rPr>
  </w:style>
  <w:style w:type="paragraph" w:styleId="CommentText">
    <w:name w:val="annotation text"/>
    <w:basedOn w:val="Normal"/>
    <w:link w:val="CommentTextChar"/>
    <w:uiPriority w:val="99"/>
    <w:unhideWhenUsed/>
    <w:rsid w:val="00E01DD5"/>
    <w:pPr>
      <w:spacing w:line="240" w:lineRule="auto"/>
    </w:pPr>
    <w:rPr>
      <w:sz w:val="20"/>
      <w:szCs w:val="20"/>
    </w:rPr>
  </w:style>
  <w:style w:type="character" w:customStyle="1" w:styleId="CommentTextChar">
    <w:name w:val="Comment Text Char"/>
    <w:basedOn w:val="DefaultParagraphFont"/>
    <w:link w:val="CommentText"/>
    <w:uiPriority w:val="99"/>
    <w:rsid w:val="00E01D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1DD5"/>
    <w:rPr>
      <w:b/>
      <w:bCs/>
    </w:rPr>
  </w:style>
  <w:style w:type="character" w:customStyle="1" w:styleId="CommentSubjectChar">
    <w:name w:val="Comment Subject Char"/>
    <w:basedOn w:val="CommentTextChar"/>
    <w:link w:val="CommentSubject"/>
    <w:uiPriority w:val="99"/>
    <w:semiHidden/>
    <w:rsid w:val="00E01DD5"/>
    <w:rPr>
      <w:rFonts w:ascii="Calibri" w:eastAsia="Calibri" w:hAnsi="Calibri" w:cs="Times New Roman"/>
      <w:b/>
      <w:bCs/>
      <w:sz w:val="20"/>
      <w:szCs w:val="20"/>
    </w:rPr>
  </w:style>
  <w:style w:type="paragraph" w:styleId="NormalWeb">
    <w:name w:val="Normal (Web)"/>
    <w:basedOn w:val="Normal"/>
    <w:uiPriority w:val="99"/>
    <w:semiHidden/>
    <w:unhideWhenUsed/>
    <w:rsid w:val="00A60014"/>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B55FF2"/>
    <w:rPr>
      <w:color w:val="954F72" w:themeColor="followedHyperlink"/>
      <w:u w:val="single"/>
    </w:rPr>
  </w:style>
  <w:style w:type="table" w:customStyle="1" w:styleId="TableGrid1">
    <w:name w:val="Table Grid1"/>
    <w:basedOn w:val="TableNormal"/>
    <w:next w:val="TableGrid"/>
    <w:uiPriority w:val="39"/>
    <w:rsid w:val="004A7ED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07622"/>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E07622"/>
    <w:pPr>
      <w:widowControl w:val="0"/>
      <w:autoSpaceDE w:val="0"/>
      <w:autoSpaceDN w:val="0"/>
      <w:spacing w:before="0" w:after="0" w:line="240" w:lineRule="auto"/>
    </w:pPr>
    <w:rPr>
      <w:rFonts w:ascii="Arial" w:eastAsia="Arial" w:hAnsi="Arial" w:cs="Arial"/>
      <w:lang w:val="en-US"/>
    </w:rPr>
  </w:style>
  <w:style w:type="paragraph" w:customStyle="1" w:styleId="Default">
    <w:name w:val="Default"/>
    <w:rsid w:val="00BD580D"/>
    <w:pPr>
      <w:autoSpaceDE w:val="0"/>
      <w:autoSpaceDN w:val="0"/>
      <w:adjustRightInd w:val="0"/>
      <w:spacing w:after="0" w:line="240" w:lineRule="auto"/>
    </w:pPr>
    <w:rPr>
      <w:rFonts w:ascii="Calibri" w:hAnsi="Calibri" w:cs="Calibri"/>
      <w:color w:val="000000"/>
      <w:sz w:val="24"/>
      <w:szCs w:val="24"/>
      <w:lang w:val="en-GB"/>
    </w:rPr>
  </w:style>
  <w:style w:type="paragraph" w:customStyle="1" w:styleId="TableText">
    <w:name w:val="Table Text"/>
    <w:link w:val="TableTextChar"/>
    <w:uiPriority w:val="13"/>
    <w:qFormat/>
    <w:rsid w:val="004578C7"/>
    <w:pPr>
      <w:spacing w:before="60" w:after="60" w:line="240" w:lineRule="auto"/>
    </w:pPr>
    <w:rPr>
      <w:sz w:val="18"/>
    </w:rPr>
  </w:style>
  <w:style w:type="paragraph" w:customStyle="1" w:styleId="TableHeading">
    <w:name w:val="Table Heading"/>
    <w:basedOn w:val="TableText"/>
    <w:uiPriority w:val="14"/>
    <w:qFormat/>
    <w:rsid w:val="004578C7"/>
    <w:pPr>
      <w:keepNext/>
    </w:pPr>
    <w:rPr>
      <w:b/>
    </w:rPr>
  </w:style>
  <w:style w:type="character" w:customStyle="1" w:styleId="TableTextChar">
    <w:name w:val="Table Text Char"/>
    <w:basedOn w:val="DefaultParagraphFont"/>
    <w:link w:val="TableText"/>
    <w:uiPriority w:val="13"/>
    <w:rsid w:val="004578C7"/>
    <w:rPr>
      <w:sz w:val="18"/>
    </w:rPr>
  </w:style>
  <w:style w:type="character" w:styleId="UnresolvedMention">
    <w:name w:val="Unresolved Mention"/>
    <w:basedOn w:val="DefaultParagraphFont"/>
    <w:uiPriority w:val="99"/>
    <w:rsid w:val="00027012"/>
    <w:rPr>
      <w:color w:val="605E5C"/>
      <w:shd w:val="clear" w:color="auto" w:fill="E1DFDD"/>
    </w:rPr>
  </w:style>
  <w:style w:type="paragraph" w:customStyle="1" w:styleId="EndNoteBibliographyTitle">
    <w:name w:val="EndNote Bibliography Title"/>
    <w:basedOn w:val="Normal"/>
    <w:link w:val="EndNoteBibliographyTitleChar"/>
    <w:rsid w:val="004E40C3"/>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4E40C3"/>
    <w:rPr>
      <w:rFonts w:ascii="Calibri" w:eastAsia="Calibri" w:hAnsi="Calibri" w:cs="Calibri"/>
      <w:noProof/>
      <w:lang w:val="en-US"/>
    </w:rPr>
  </w:style>
  <w:style w:type="paragraph" w:customStyle="1" w:styleId="EndNoteBibliography">
    <w:name w:val="EndNote Bibliography"/>
    <w:basedOn w:val="Normal"/>
    <w:link w:val="EndNoteBibliographyChar"/>
    <w:rsid w:val="004E40C3"/>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4E40C3"/>
    <w:rPr>
      <w:rFonts w:ascii="Calibri" w:eastAsia="Calibri" w:hAnsi="Calibri" w:cs="Calibri"/>
      <w:noProof/>
      <w:lang w:val="en-US"/>
    </w:rPr>
  </w:style>
  <w:style w:type="paragraph" w:styleId="Revision">
    <w:name w:val="Revision"/>
    <w:hidden/>
    <w:uiPriority w:val="99"/>
    <w:semiHidden/>
    <w:rsid w:val="006C5A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3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waterquality.gov.au/anz-guidelines/guideline-values/default/draft-dgvs"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05A3-59B8-4DDA-9900-50C5AB7EFE1C}">
  <ds:schemaRefs>
    <ds:schemaRef ds:uri="http://schemas.microsoft.com/sharepoint/v3/contenttype/forms"/>
  </ds:schemaRefs>
</ds:datastoreItem>
</file>

<file path=customXml/itemProps2.xml><?xml version="1.0" encoding="utf-8"?>
<ds:datastoreItem xmlns:ds="http://schemas.openxmlformats.org/officeDocument/2006/customXml" ds:itemID="{B21168C4-B416-4C77-AD1A-AB1196AFE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6DD67-CAB8-440D-B258-5C6A5C85A459}">
  <ds:schemaRefs>
    <ds:schemaRef ds:uri="b98728ac-f998-415c-abee-6b046fb1441e"/>
    <ds:schemaRef ds:uri="http://purl.org/dc/dcmitype/"/>
    <ds:schemaRef ds:uri="http://www.w3.org/XML/1998/namespace"/>
    <ds:schemaRef ds:uri="http://schemas.microsoft.com/office/2006/metadata/properties"/>
    <ds:schemaRef ds:uri="http://purl.org/dc/terms/"/>
    <ds:schemaRef ds:uri="http://purl.org/dc/elements/1.1/"/>
    <ds:schemaRef ds:uri="a95247a4-6a6b-40fb-87b6-0fb2f012c536"/>
    <ds:schemaRef ds:uri="http://schemas.microsoft.com/office/infopath/2007/PartnerControls"/>
    <ds:schemaRef ds:uri="http://schemas.openxmlformats.org/package/2006/metadata/core-properties"/>
    <ds:schemaRef ds:uri="http://schemas.microsoft.com/office/2006/documentManagement/types"/>
    <ds:schemaRef ds:uri="d81c2681-db7b-4a56-9abd-a3238a78f6b2"/>
    <ds:schemaRef ds:uri="d869c146-c82e-4435-92e4-da91542262fd"/>
    <ds:schemaRef ds:uri="http://schemas.microsoft.com/sharepoint/v3"/>
  </ds:schemaRefs>
</ds:datastoreItem>
</file>

<file path=customXml/itemProps4.xml><?xml version="1.0" encoding="utf-8"?>
<ds:datastoreItem xmlns:ds="http://schemas.openxmlformats.org/officeDocument/2006/customXml" ds:itemID="{3376FA5A-F6DA-48B1-90F4-91451B3933BA}">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22</TotalTime>
  <Pages>15</Pages>
  <Words>4642</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Response to public submissions on draft default guideline values for copper in marine water</vt:lpstr>
    </vt:vector>
  </TitlesOfParts>
  <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public submissions on draft default guideline values for copper in marine water</dc:title>
  <dc:creator>Water Quality Australia</dc:creator>
  <cp:lastModifiedBy>Lien NGUYEN</cp:lastModifiedBy>
  <cp:revision>35</cp:revision>
  <cp:lastPrinted>2025-09-15T20:22:00Z</cp:lastPrinted>
  <dcterms:created xsi:type="dcterms:W3CDTF">2025-02-24T22:21:00Z</dcterms:created>
  <dcterms:modified xsi:type="dcterms:W3CDTF">2025-09-17T00:04:00Z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679f1bb9,202261f8,7a917541,7344b768,882c5b9,1c20b0d6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6de1d9be,3355995a,68ce2ae0,6b79e3b9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y fmtid="{D5CDD505-2E9C-101B-9397-08002B2CF9AE}" pid="9" name="MediaServiceImageTags">
    <vt:lpwstr/>
  </property>
</Properties>
</file>